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FB1" w:rsidRPr="00743904" w:rsidRDefault="00621FB1" w:rsidP="00621FB1">
      <w:pPr>
        <w:rPr>
          <w:b/>
          <w:color w:val="646464" w:themeColor="accent5"/>
          <w:sz w:val="40"/>
          <w:szCs w:val="40"/>
        </w:rPr>
      </w:pPr>
      <w:r>
        <w:rPr>
          <w:b/>
          <w:color w:val="646464" w:themeColor="accent5"/>
          <w:sz w:val="40"/>
          <w:szCs w:val="40"/>
        </w:rPr>
        <w:t>Urteilsbesprechung</w:t>
      </w:r>
    </w:p>
    <w:p w:rsidR="004C1DB1" w:rsidRPr="00121B71" w:rsidRDefault="004C1DB1" w:rsidP="004C1DB1">
      <w:pPr>
        <w:spacing w:before="75" w:after="225" w:line="240" w:lineRule="auto"/>
        <w:rPr>
          <w:rFonts w:ascii="Arial" w:hAnsi="Arial" w:cs="Arial"/>
          <w:b/>
          <w:bCs/>
          <w:color w:val="000000"/>
          <w:sz w:val="27"/>
          <w:szCs w:val="27"/>
        </w:rPr>
      </w:pPr>
      <w:r w:rsidRPr="00121B71">
        <w:rPr>
          <w:rFonts w:ascii="Arial" w:hAnsi="Arial" w:cs="Arial"/>
          <w:b/>
          <w:bCs/>
          <w:color w:val="000000"/>
          <w:sz w:val="27"/>
          <w:szCs w:val="27"/>
        </w:rPr>
        <w:t>Schluss mit fiktiven Mängelbeseitigungskosten I!</w:t>
      </w:r>
    </w:p>
    <w:p w:rsidR="004C1DB1" w:rsidRPr="00121B71" w:rsidRDefault="004C1DB1" w:rsidP="004C1DB1">
      <w:pPr>
        <w:spacing w:after="225" w:line="240" w:lineRule="auto"/>
        <w:rPr>
          <w:rFonts w:ascii="Arial" w:hAnsi="Arial" w:cs="Arial"/>
          <w:b/>
          <w:bCs/>
          <w:color w:val="000000"/>
          <w:sz w:val="23"/>
          <w:szCs w:val="23"/>
        </w:rPr>
      </w:pPr>
      <w:r w:rsidRPr="00121B71">
        <w:rPr>
          <w:rFonts w:ascii="Arial" w:hAnsi="Arial" w:cs="Arial"/>
          <w:b/>
          <w:bCs/>
          <w:color w:val="000000"/>
          <w:sz w:val="23"/>
          <w:szCs w:val="23"/>
        </w:rPr>
        <w:t>1. Der Besteller, der das Werk behält und den Mangel nicht beseitigen lässt, kann im Rahmen eines Schadensersatzanspruchs statt der Leistung (kleiner Schadensersatz) gegen den Unternehmer gem. § </w:t>
      </w:r>
      <w:hyperlink r:id="rId8" w:history="1">
        <w:r w:rsidRPr="00121B71">
          <w:rPr>
            <w:rFonts w:ascii="Arial" w:hAnsi="Arial" w:cs="Arial"/>
            <w:b/>
            <w:bCs/>
            <w:color w:val="336AA1"/>
            <w:sz w:val="23"/>
            <w:szCs w:val="23"/>
            <w:u w:val="single"/>
          </w:rPr>
          <w:t>634</w:t>
        </w:r>
      </w:hyperlink>
      <w:r w:rsidRPr="00121B71">
        <w:rPr>
          <w:rFonts w:ascii="Arial" w:hAnsi="Arial" w:cs="Arial"/>
          <w:b/>
          <w:bCs/>
          <w:color w:val="000000"/>
          <w:sz w:val="23"/>
          <w:szCs w:val="23"/>
        </w:rPr>
        <w:t> Nr. 4, §§ </w:t>
      </w:r>
      <w:hyperlink r:id="rId9" w:history="1">
        <w:r w:rsidRPr="00121B71">
          <w:rPr>
            <w:rFonts w:ascii="Arial" w:hAnsi="Arial" w:cs="Arial"/>
            <w:b/>
            <w:bCs/>
            <w:color w:val="336AA1"/>
            <w:sz w:val="23"/>
            <w:szCs w:val="23"/>
            <w:u w:val="single"/>
          </w:rPr>
          <w:t>280</w:t>
        </w:r>
      </w:hyperlink>
      <w:r w:rsidRPr="00121B71">
        <w:rPr>
          <w:rFonts w:ascii="Arial" w:hAnsi="Arial" w:cs="Arial"/>
          <w:b/>
          <w:bCs/>
          <w:color w:val="000000"/>
          <w:sz w:val="23"/>
          <w:szCs w:val="23"/>
        </w:rPr>
        <w:t>, </w:t>
      </w:r>
      <w:hyperlink r:id="rId10" w:history="1">
        <w:r w:rsidRPr="00121B71">
          <w:rPr>
            <w:rFonts w:ascii="Arial" w:hAnsi="Arial" w:cs="Arial"/>
            <w:b/>
            <w:bCs/>
            <w:color w:val="336AA1"/>
            <w:sz w:val="23"/>
            <w:szCs w:val="23"/>
            <w:u w:val="single"/>
          </w:rPr>
          <w:t>281</w:t>
        </w:r>
      </w:hyperlink>
      <w:r w:rsidRPr="00121B71">
        <w:rPr>
          <w:rFonts w:ascii="Arial" w:hAnsi="Arial" w:cs="Arial"/>
          <w:b/>
          <w:bCs/>
          <w:color w:val="000000"/>
          <w:sz w:val="23"/>
          <w:szCs w:val="23"/>
        </w:rPr>
        <w:t> BGB seinen Schaden nicht nach den fiktiven Mängelbeseitigungskosten bemessen (Aufgabe der bisherigen Rechtsprechung).*)</w:t>
      </w:r>
      <w:r w:rsidRPr="00121B71">
        <w:rPr>
          <w:rFonts w:ascii="Arial" w:hAnsi="Arial" w:cs="Arial"/>
          <w:b/>
          <w:bCs/>
          <w:color w:val="000000"/>
          <w:sz w:val="23"/>
          <w:szCs w:val="23"/>
        </w:rPr>
        <w:br/>
        <w:t>2. Der Besteller, der das Werk behält und den Mangel nicht beseitigen lässt, kann den Schaden in der Weise bemessen, dass er im Wege einer Vermögensbilanz die Differenz zwischen dem hypothetischen Wert der durch das Werk geschaffenen oder bearbeiteten, im Eigentum des Bestellers stehenden Sache ohne Mangel und dem tatsächlichen Wert der Sache mit Mangel ermittelt. Hat der Besteller die durch das Werk geschaffene oder bearbeitete Sache veräußert, ohne dass eine Mängelbeseitigung vorgenommen wurde, kann er den Schaden nach dem konkreten Mindererlös wegen des Mangels der Sache bemessen.*)</w:t>
      </w:r>
    </w:p>
    <w:p w:rsidR="004C1DB1" w:rsidRPr="00121B71" w:rsidRDefault="004C1DB1" w:rsidP="004C1DB1">
      <w:pPr>
        <w:spacing w:after="225" w:line="240" w:lineRule="auto"/>
        <w:rPr>
          <w:rFonts w:ascii="Arial" w:hAnsi="Arial" w:cs="Arial"/>
          <w:color w:val="000000"/>
          <w:sz w:val="23"/>
          <w:szCs w:val="23"/>
        </w:rPr>
      </w:pPr>
      <w:r w:rsidRPr="00121B71">
        <w:rPr>
          <w:rFonts w:ascii="Arial" w:hAnsi="Arial" w:cs="Arial"/>
          <w:color w:val="000000"/>
          <w:sz w:val="23"/>
          <w:szCs w:val="23"/>
        </w:rPr>
        <w:t>BGH, Urteil vom 22.02.2018 - </w:t>
      </w:r>
      <w:hyperlink r:id="rId11" w:history="1">
        <w:r w:rsidRPr="00121B71">
          <w:rPr>
            <w:rFonts w:ascii="Arial" w:hAnsi="Arial" w:cs="Arial"/>
            <w:b/>
            <w:bCs/>
            <w:color w:val="336AA1"/>
            <w:sz w:val="23"/>
            <w:szCs w:val="23"/>
            <w:u w:val="single"/>
          </w:rPr>
          <w:t>VII ZR 46/17</w:t>
        </w:r>
      </w:hyperlink>
    </w:p>
    <w:p w:rsidR="004C1DB1" w:rsidRPr="00121B71" w:rsidRDefault="004C1DB1" w:rsidP="004C1DB1">
      <w:pPr>
        <w:spacing w:after="225" w:line="240" w:lineRule="auto"/>
        <w:rPr>
          <w:rFonts w:ascii="Arial" w:hAnsi="Arial" w:cs="Arial"/>
          <w:color w:val="000000"/>
          <w:sz w:val="23"/>
          <w:szCs w:val="23"/>
        </w:rPr>
      </w:pPr>
      <w:r w:rsidRPr="00121B71">
        <w:rPr>
          <w:rFonts w:ascii="Arial" w:hAnsi="Arial" w:cs="Arial"/>
          <w:color w:val="000000"/>
          <w:sz w:val="23"/>
          <w:szCs w:val="23"/>
        </w:rPr>
        <w:t>BGB §§ </w:t>
      </w:r>
      <w:hyperlink r:id="rId12" w:history="1">
        <w:r w:rsidRPr="00121B71">
          <w:rPr>
            <w:rFonts w:ascii="Arial" w:hAnsi="Arial" w:cs="Arial"/>
            <w:b/>
            <w:bCs/>
            <w:color w:val="336AA1"/>
            <w:sz w:val="23"/>
            <w:szCs w:val="23"/>
            <w:u w:val="single"/>
          </w:rPr>
          <w:t>249</w:t>
        </w:r>
      </w:hyperlink>
      <w:r w:rsidRPr="00121B71">
        <w:rPr>
          <w:rFonts w:ascii="Arial" w:hAnsi="Arial" w:cs="Arial"/>
          <w:color w:val="000000"/>
          <w:sz w:val="23"/>
          <w:szCs w:val="23"/>
        </w:rPr>
        <w:t>, </w:t>
      </w:r>
      <w:hyperlink r:id="rId13" w:history="1">
        <w:r w:rsidRPr="00121B71">
          <w:rPr>
            <w:rFonts w:ascii="Arial" w:hAnsi="Arial" w:cs="Arial"/>
            <w:b/>
            <w:bCs/>
            <w:color w:val="336AA1"/>
            <w:sz w:val="23"/>
            <w:szCs w:val="23"/>
            <w:u w:val="single"/>
          </w:rPr>
          <w:t>280</w:t>
        </w:r>
      </w:hyperlink>
      <w:r w:rsidRPr="00121B71">
        <w:rPr>
          <w:rFonts w:ascii="Arial" w:hAnsi="Arial" w:cs="Arial"/>
          <w:color w:val="000000"/>
          <w:sz w:val="23"/>
          <w:szCs w:val="23"/>
        </w:rPr>
        <w:t>, </w:t>
      </w:r>
      <w:hyperlink r:id="rId14" w:history="1">
        <w:r w:rsidRPr="00121B71">
          <w:rPr>
            <w:rFonts w:ascii="Arial" w:hAnsi="Arial" w:cs="Arial"/>
            <w:b/>
            <w:bCs/>
            <w:color w:val="336AA1"/>
            <w:sz w:val="23"/>
            <w:szCs w:val="23"/>
            <w:u w:val="single"/>
          </w:rPr>
          <w:t>281</w:t>
        </w:r>
      </w:hyperlink>
      <w:r w:rsidRPr="00121B71">
        <w:rPr>
          <w:rFonts w:ascii="Arial" w:hAnsi="Arial" w:cs="Arial"/>
          <w:color w:val="000000"/>
          <w:sz w:val="23"/>
          <w:szCs w:val="23"/>
        </w:rPr>
        <w:t>, </w:t>
      </w:r>
      <w:hyperlink r:id="rId15" w:history="1">
        <w:r w:rsidRPr="00121B71">
          <w:rPr>
            <w:rFonts w:ascii="Arial" w:hAnsi="Arial" w:cs="Arial"/>
            <w:b/>
            <w:bCs/>
            <w:color w:val="336AA1"/>
            <w:sz w:val="23"/>
            <w:szCs w:val="23"/>
            <w:u w:val="single"/>
          </w:rPr>
          <w:t>633</w:t>
        </w:r>
      </w:hyperlink>
      <w:r w:rsidRPr="00121B71">
        <w:rPr>
          <w:rFonts w:ascii="Arial" w:hAnsi="Arial" w:cs="Arial"/>
          <w:color w:val="000000"/>
          <w:sz w:val="23"/>
          <w:szCs w:val="23"/>
        </w:rPr>
        <w:t>, </w:t>
      </w:r>
      <w:hyperlink r:id="rId16" w:history="1">
        <w:r w:rsidRPr="00121B71">
          <w:rPr>
            <w:rFonts w:ascii="Arial" w:hAnsi="Arial" w:cs="Arial"/>
            <w:b/>
            <w:bCs/>
            <w:color w:val="336AA1"/>
            <w:sz w:val="23"/>
            <w:szCs w:val="23"/>
            <w:u w:val="single"/>
          </w:rPr>
          <w:t>634</w:t>
        </w:r>
      </w:hyperlink>
      <w:r w:rsidRPr="00121B71">
        <w:rPr>
          <w:rFonts w:ascii="Arial" w:hAnsi="Arial" w:cs="Arial"/>
          <w:color w:val="000000"/>
          <w:sz w:val="23"/>
          <w:szCs w:val="23"/>
        </w:rPr>
        <w:t> Nr. 2, 3, 4, §§ </w:t>
      </w:r>
      <w:hyperlink r:id="rId17" w:history="1">
        <w:r w:rsidRPr="00121B71">
          <w:rPr>
            <w:rFonts w:ascii="Arial" w:hAnsi="Arial" w:cs="Arial"/>
            <w:b/>
            <w:bCs/>
            <w:color w:val="336AA1"/>
            <w:sz w:val="23"/>
            <w:szCs w:val="23"/>
            <w:u w:val="single"/>
          </w:rPr>
          <w:t>637</w:t>
        </w:r>
      </w:hyperlink>
      <w:r w:rsidRPr="00121B71">
        <w:rPr>
          <w:rFonts w:ascii="Arial" w:hAnsi="Arial" w:cs="Arial"/>
          <w:color w:val="000000"/>
          <w:sz w:val="23"/>
          <w:szCs w:val="23"/>
        </w:rPr>
        <w:t>, </w:t>
      </w:r>
      <w:hyperlink r:id="rId18" w:history="1">
        <w:r w:rsidRPr="00121B71">
          <w:rPr>
            <w:rFonts w:ascii="Arial" w:hAnsi="Arial" w:cs="Arial"/>
            <w:b/>
            <w:bCs/>
            <w:color w:val="336AA1"/>
            <w:sz w:val="23"/>
            <w:szCs w:val="23"/>
            <w:u w:val="single"/>
          </w:rPr>
          <w:t>638</w:t>
        </w:r>
      </w:hyperlink>
      <w:r w:rsidRPr="00121B71">
        <w:rPr>
          <w:rFonts w:ascii="Arial" w:hAnsi="Arial" w:cs="Arial"/>
          <w:color w:val="000000"/>
          <w:sz w:val="23"/>
          <w:szCs w:val="23"/>
        </w:rPr>
        <w:t>; VOB/B § </w:t>
      </w:r>
      <w:hyperlink r:id="rId19" w:history="1">
        <w:r w:rsidRPr="00121B71">
          <w:rPr>
            <w:rFonts w:ascii="Arial" w:hAnsi="Arial" w:cs="Arial"/>
            <w:b/>
            <w:bCs/>
            <w:color w:val="336AA1"/>
            <w:sz w:val="23"/>
            <w:szCs w:val="23"/>
            <w:u w:val="single"/>
          </w:rPr>
          <w:t>13</w:t>
        </w:r>
      </w:hyperlink>
    </w:p>
    <w:p w:rsidR="004C1DB1" w:rsidRPr="00121B71" w:rsidRDefault="004C1DB1" w:rsidP="004C1DB1">
      <w:pPr>
        <w:pBdr>
          <w:bottom w:val="single" w:sz="6" w:space="2" w:color="DDDDDD"/>
        </w:pBdr>
        <w:spacing w:before="225" w:after="75" w:line="240" w:lineRule="auto"/>
        <w:rPr>
          <w:rFonts w:ascii="Arial" w:hAnsi="Arial" w:cs="Arial"/>
          <w:b/>
          <w:bCs/>
          <w:color w:val="000000"/>
          <w:sz w:val="24"/>
          <w:szCs w:val="24"/>
        </w:rPr>
      </w:pPr>
      <w:r w:rsidRPr="00121B71">
        <w:rPr>
          <w:rFonts w:ascii="Arial" w:hAnsi="Arial" w:cs="Arial"/>
          <w:b/>
          <w:bCs/>
          <w:color w:val="000000"/>
          <w:sz w:val="24"/>
          <w:szCs w:val="24"/>
        </w:rPr>
        <w:t>Problem/Sachverhalt</w:t>
      </w:r>
    </w:p>
    <w:p w:rsidR="004C1DB1" w:rsidRPr="00121B71" w:rsidRDefault="004C1DB1" w:rsidP="004C1DB1">
      <w:pPr>
        <w:spacing w:before="150" w:after="225" w:line="240" w:lineRule="auto"/>
        <w:rPr>
          <w:rFonts w:ascii="Arial" w:hAnsi="Arial" w:cs="Arial"/>
          <w:color w:val="000000"/>
          <w:sz w:val="23"/>
          <w:szCs w:val="23"/>
        </w:rPr>
      </w:pPr>
      <w:r w:rsidRPr="00121B71">
        <w:rPr>
          <w:rFonts w:ascii="Arial" w:hAnsi="Arial" w:cs="Arial"/>
          <w:color w:val="000000"/>
          <w:sz w:val="23"/>
          <w:szCs w:val="23"/>
        </w:rPr>
        <w:t>Ein Bauherr (B) beauftragt den Unternehmer (U) unter Einbeziehung der VOB/B mit der Verlegung von Natursteinplatten. Nach Abnahme zeigen sich Mängel. B nimmt U unter Berücksichtigung eines Mitverschuldens für Planungsfehler i.H.v. 25% gerichtlich auf Vorschuss für die Mängelbeseitigung i.H.v. rund 90.000 Euro in Anspruch. Während des Berufungsverfahrens veräußert er das Bauwerk und stellt die Klage auf Schadensersatz in derselben Höhe um. Eine Mängelbeseitigung erfolgt indes nicht.</w:t>
      </w:r>
    </w:p>
    <w:p w:rsidR="004C1DB1" w:rsidRPr="00121B71" w:rsidRDefault="004C1DB1" w:rsidP="004C1DB1">
      <w:pPr>
        <w:pBdr>
          <w:bottom w:val="single" w:sz="6" w:space="2" w:color="DDDDDD"/>
        </w:pBdr>
        <w:spacing w:before="225" w:after="75" w:line="240" w:lineRule="auto"/>
        <w:rPr>
          <w:rFonts w:ascii="Arial" w:hAnsi="Arial" w:cs="Arial"/>
          <w:b/>
          <w:bCs/>
          <w:color w:val="000000"/>
          <w:sz w:val="24"/>
          <w:szCs w:val="24"/>
        </w:rPr>
      </w:pPr>
      <w:r w:rsidRPr="00121B71">
        <w:rPr>
          <w:rFonts w:ascii="Arial" w:hAnsi="Arial" w:cs="Arial"/>
          <w:b/>
          <w:bCs/>
          <w:color w:val="000000"/>
          <w:sz w:val="24"/>
          <w:szCs w:val="24"/>
        </w:rPr>
        <w:t>Entscheidung</w:t>
      </w:r>
    </w:p>
    <w:p w:rsidR="004C1DB1" w:rsidRPr="00121B71" w:rsidRDefault="004C1DB1" w:rsidP="004C1DB1">
      <w:pPr>
        <w:spacing w:before="150" w:after="0" w:line="240" w:lineRule="auto"/>
        <w:rPr>
          <w:rFonts w:ascii="Arial" w:hAnsi="Arial" w:cs="Arial"/>
          <w:color w:val="000000"/>
          <w:sz w:val="23"/>
          <w:szCs w:val="23"/>
        </w:rPr>
      </w:pPr>
      <w:r w:rsidRPr="00121B71">
        <w:rPr>
          <w:rFonts w:ascii="Arial" w:hAnsi="Arial" w:cs="Arial"/>
          <w:color w:val="000000"/>
          <w:sz w:val="23"/>
          <w:szCs w:val="23"/>
        </w:rPr>
        <w:t>Zwar stehe B dem Grunde nach ein Schadensersatzanspruch statt der Leistung aus § </w:t>
      </w:r>
      <w:hyperlink r:id="rId20" w:history="1">
        <w:r w:rsidRPr="00121B71">
          <w:rPr>
            <w:rFonts w:ascii="Arial" w:hAnsi="Arial" w:cs="Arial"/>
            <w:b/>
            <w:bCs/>
            <w:color w:val="336AA1"/>
            <w:sz w:val="23"/>
            <w:szCs w:val="23"/>
            <w:u w:val="single"/>
          </w:rPr>
          <w:t>13</w:t>
        </w:r>
      </w:hyperlink>
      <w:r w:rsidRPr="00121B71">
        <w:rPr>
          <w:rFonts w:ascii="Arial" w:hAnsi="Arial" w:cs="Arial"/>
          <w:color w:val="000000"/>
          <w:sz w:val="23"/>
          <w:szCs w:val="23"/>
        </w:rPr>
        <w:t> Abs. 7 Nr. 3 VOB/B und im Übrigen aus § </w:t>
      </w:r>
      <w:hyperlink r:id="rId21" w:history="1">
        <w:r w:rsidRPr="00121B71">
          <w:rPr>
            <w:rFonts w:ascii="Arial" w:hAnsi="Arial" w:cs="Arial"/>
            <w:b/>
            <w:bCs/>
            <w:color w:val="336AA1"/>
            <w:sz w:val="23"/>
            <w:szCs w:val="23"/>
            <w:u w:val="single"/>
          </w:rPr>
          <w:t>634</w:t>
        </w:r>
      </w:hyperlink>
      <w:r w:rsidRPr="00121B71">
        <w:rPr>
          <w:rFonts w:ascii="Arial" w:hAnsi="Arial" w:cs="Arial"/>
          <w:color w:val="000000"/>
          <w:sz w:val="23"/>
          <w:szCs w:val="23"/>
        </w:rPr>
        <w:t> Nr. 4, §§ </w:t>
      </w:r>
      <w:hyperlink r:id="rId22" w:history="1">
        <w:r w:rsidRPr="00121B71">
          <w:rPr>
            <w:rFonts w:ascii="Arial" w:hAnsi="Arial" w:cs="Arial"/>
            <w:b/>
            <w:bCs/>
            <w:color w:val="336AA1"/>
            <w:sz w:val="23"/>
            <w:szCs w:val="23"/>
            <w:u w:val="single"/>
          </w:rPr>
          <w:t>280</w:t>
        </w:r>
      </w:hyperlink>
      <w:r w:rsidRPr="00121B71">
        <w:rPr>
          <w:rFonts w:ascii="Arial" w:hAnsi="Arial" w:cs="Arial"/>
          <w:color w:val="000000"/>
          <w:sz w:val="23"/>
          <w:szCs w:val="23"/>
        </w:rPr>
        <w:t>, </w:t>
      </w:r>
      <w:hyperlink r:id="rId23" w:history="1">
        <w:r w:rsidRPr="00121B71">
          <w:rPr>
            <w:rFonts w:ascii="Arial" w:hAnsi="Arial" w:cs="Arial"/>
            <w:b/>
            <w:bCs/>
            <w:color w:val="336AA1"/>
            <w:sz w:val="23"/>
            <w:szCs w:val="23"/>
            <w:u w:val="single"/>
          </w:rPr>
          <w:t>281</w:t>
        </w:r>
      </w:hyperlink>
      <w:r w:rsidRPr="00121B71">
        <w:rPr>
          <w:rFonts w:ascii="Arial" w:hAnsi="Arial" w:cs="Arial"/>
          <w:color w:val="000000"/>
          <w:sz w:val="23"/>
          <w:szCs w:val="23"/>
        </w:rPr>
        <w:t> BGB zu. Entgegen der bisherigen jahrzehntelangen Rechtsprechung des BGH (vgl. zuletzt </w:t>
      </w:r>
      <w:hyperlink r:id="rId24" w:history="1">
        <w:r w:rsidRPr="00121B71">
          <w:rPr>
            <w:rFonts w:ascii="Arial" w:hAnsi="Arial" w:cs="Arial"/>
            <w:b/>
            <w:bCs/>
            <w:color w:val="336AA1"/>
            <w:sz w:val="23"/>
            <w:szCs w:val="23"/>
            <w:u w:val="single"/>
          </w:rPr>
          <w:t>IBR 2007, 607</w:t>
        </w:r>
      </w:hyperlink>
      <w:r w:rsidRPr="00121B71">
        <w:rPr>
          <w:rFonts w:ascii="Arial" w:hAnsi="Arial" w:cs="Arial"/>
          <w:color w:val="000000"/>
          <w:sz w:val="23"/>
          <w:szCs w:val="23"/>
        </w:rPr>
        <w:t>) könne dieser Anspruch aber </w:t>
      </w:r>
      <w:r w:rsidRPr="00121B71">
        <w:rPr>
          <w:rFonts w:ascii="Arial" w:hAnsi="Arial" w:cs="Arial"/>
          <w:b/>
          <w:bCs/>
          <w:color w:val="000000"/>
          <w:sz w:val="23"/>
          <w:szCs w:val="23"/>
        </w:rPr>
        <w:t>nicht mehr nach den fiktiven Mängelbeseitigungskosten</w:t>
      </w:r>
      <w:r w:rsidRPr="00121B71">
        <w:rPr>
          <w:rFonts w:ascii="Arial" w:hAnsi="Arial" w:cs="Arial"/>
          <w:color w:val="000000"/>
          <w:sz w:val="23"/>
          <w:szCs w:val="23"/>
        </w:rPr>
        <w:t> berechnet werden, wenn B einen </w:t>
      </w:r>
      <w:r w:rsidRPr="00121B71">
        <w:rPr>
          <w:rFonts w:ascii="Arial" w:hAnsi="Arial" w:cs="Arial"/>
          <w:b/>
          <w:bCs/>
          <w:color w:val="000000"/>
          <w:sz w:val="23"/>
          <w:szCs w:val="23"/>
        </w:rPr>
        <w:t>Mangel nicht beseitige</w:t>
      </w:r>
      <w:r w:rsidRPr="00121B71">
        <w:rPr>
          <w:rFonts w:ascii="Arial" w:hAnsi="Arial" w:cs="Arial"/>
          <w:color w:val="000000"/>
          <w:sz w:val="23"/>
          <w:szCs w:val="23"/>
        </w:rPr>
        <w:t>. Vielmehr schließe sich der VII. Senat nunmehr der Auffassung Halfmeiers (BauR 2013, 320, dazu </w:t>
      </w:r>
      <w:hyperlink r:id="rId25" w:history="1">
        <w:r w:rsidRPr="00121B71">
          <w:rPr>
            <w:rFonts w:ascii="Arial" w:hAnsi="Arial" w:cs="Arial"/>
            <w:b/>
            <w:bCs/>
            <w:color w:val="336AA1"/>
            <w:sz w:val="23"/>
            <w:szCs w:val="23"/>
            <w:u w:val="single"/>
          </w:rPr>
          <w:t>IBR 2013, 130</w:t>
        </w:r>
      </w:hyperlink>
      <w:r w:rsidRPr="00121B71">
        <w:rPr>
          <w:rFonts w:ascii="Arial" w:hAnsi="Arial" w:cs="Arial"/>
          <w:color w:val="000000"/>
          <w:sz w:val="23"/>
          <w:szCs w:val="23"/>
        </w:rPr>
        <w:t xml:space="preserve">) an, da das Vermögen des B im Vergleich zu einer mangelfreien Leistung des U nicht um einen Betrag in Höhe solcher (fiktiver) Aufwendungen vermindert sei. Erst wenn er den Mangel beseitigen lasse und </w:t>
      </w:r>
      <w:r w:rsidRPr="00121B71">
        <w:rPr>
          <w:rFonts w:ascii="Arial" w:hAnsi="Arial" w:cs="Arial"/>
          <w:color w:val="000000"/>
          <w:sz w:val="23"/>
          <w:szCs w:val="23"/>
        </w:rPr>
        <w:lastRenderedPageBreak/>
        <w:t>die Kosten hierfür begleiche, entstehe ihm ein Vermögensschaden in Höhe der aufgewandten Kosten. Vielmehr könne B seinen Schaden anhand der </w:t>
      </w:r>
      <w:r w:rsidRPr="00121B71">
        <w:rPr>
          <w:rFonts w:ascii="Arial" w:hAnsi="Arial" w:cs="Arial"/>
          <w:b/>
          <w:bCs/>
          <w:color w:val="000000"/>
          <w:sz w:val="23"/>
          <w:szCs w:val="23"/>
        </w:rPr>
        <w:t>Differenz zwischen dem hypothetischen Wert der</w:t>
      </w:r>
      <w:r w:rsidRPr="00121B71">
        <w:rPr>
          <w:rFonts w:ascii="Arial" w:hAnsi="Arial" w:cs="Arial"/>
          <w:color w:val="000000"/>
          <w:sz w:val="23"/>
          <w:szCs w:val="23"/>
        </w:rPr>
        <w:t> durch das Werk geschaffenen oder bearbeiteten, im Eigentum des B stehenden </w:t>
      </w:r>
      <w:r w:rsidRPr="00121B71">
        <w:rPr>
          <w:rFonts w:ascii="Arial" w:hAnsi="Arial" w:cs="Arial"/>
          <w:b/>
          <w:bCs/>
          <w:color w:val="000000"/>
          <w:sz w:val="23"/>
          <w:szCs w:val="23"/>
        </w:rPr>
        <w:t>Sache ohne Mangel</w:t>
      </w:r>
      <w:r w:rsidRPr="00121B71">
        <w:rPr>
          <w:rFonts w:ascii="Arial" w:hAnsi="Arial" w:cs="Arial"/>
          <w:color w:val="000000"/>
          <w:sz w:val="23"/>
          <w:szCs w:val="23"/>
        </w:rPr>
        <w:t> und dem </w:t>
      </w:r>
      <w:r w:rsidRPr="00121B71">
        <w:rPr>
          <w:rFonts w:ascii="Arial" w:hAnsi="Arial" w:cs="Arial"/>
          <w:b/>
          <w:bCs/>
          <w:color w:val="000000"/>
          <w:sz w:val="23"/>
          <w:szCs w:val="23"/>
        </w:rPr>
        <w:t>tatsächlichen Wert der Sache mit Mangel</w:t>
      </w:r>
      <w:r w:rsidRPr="00121B71">
        <w:rPr>
          <w:rFonts w:ascii="Arial" w:hAnsi="Arial" w:cs="Arial"/>
          <w:color w:val="000000"/>
          <w:sz w:val="23"/>
          <w:szCs w:val="23"/>
        </w:rPr>
        <w:t>, die sich auch aus einem </w:t>
      </w:r>
      <w:r w:rsidRPr="00121B71">
        <w:rPr>
          <w:rFonts w:ascii="Arial" w:hAnsi="Arial" w:cs="Arial"/>
          <w:b/>
          <w:bCs/>
          <w:color w:val="000000"/>
          <w:sz w:val="23"/>
          <w:szCs w:val="23"/>
        </w:rPr>
        <w:t>Mindererlös</w:t>
      </w:r>
      <w:r w:rsidRPr="00121B71">
        <w:rPr>
          <w:rFonts w:ascii="Arial" w:hAnsi="Arial" w:cs="Arial"/>
          <w:color w:val="000000"/>
          <w:sz w:val="23"/>
          <w:szCs w:val="23"/>
        </w:rPr>
        <w:t> im Verkaufsfall ableiten lasse, ermitteln. Die Bemessung könne im Wege der Schadensschätzung gem. § </w:t>
      </w:r>
      <w:hyperlink r:id="rId26" w:history="1">
        <w:r w:rsidRPr="00121B71">
          <w:rPr>
            <w:rFonts w:ascii="Arial" w:hAnsi="Arial" w:cs="Arial"/>
            <w:b/>
            <w:bCs/>
            <w:color w:val="336AA1"/>
            <w:sz w:val="23"/>
            <w:szCs w:val="23"/>
            <w:u w:val="single"/>
          </w:rPr>
          <w:t>287</w:t>
        </w:r>
      </w:hyperlink>
      <w:r w:rsidRPr="00121B71">
        <w:rPr>
          <w:rFonts w:ascii="Arial" w:hAnsi="Arial" w:cs="Arial"/>
          <w:color w:val="000000"/>
          <w:sz w:val="23"/>
          <w:szCs w:val="23"/>
        </w:rPr>
        <w:t> ZPO erfolgen, maßgeblich sei der Zeitpunkt der letzten mündlichen Verhandlung.</w:t>
      </w:r>
    </w:p>
    <w:p w:rsidR="004C1DB1" w:rsidRPr="00121B71" w:rsidRDefault="004C1DB1" w:rsidP="004C1DB1">
      <w:pPr>
        <w:pBdr>
          <w:bottom w:val="single" w:sz="6" w:space="2" w:color="DDDDDD"/>
        </w:pBdr>
        <w:spacing w:before="225" w:after="75" w:line="240" w:lineRule="auto"/>
        <w:rPr>
          <w:rFonts w:ascii="Arial" w:hAnsi="Arial" w:cs="Arial"/>
          <w:b/>
          <w:bCs/>
          <w:color w:val="000000"/>
          <w:sz w:val="24"/>
          <w:szCs w:val="24"/>
        </w:rPr>
      </w:pPr>
      <w:r w:rsidRPr="00121B71">
        <w:rPr>
          <w:rFonts w:ascii="Arial" w:hAnsi="Arial" w:cs="Arial"/>
          <w:b/>
          <w:bCs/>
          <w:color w:val="000000"/>
          <w:sz w:val="24"/>
          <w:szCs w:val="24"/>
        </w:rPr>
        <w:t>Praxishinweis</w:t>
      </w:r>
    </w:p>
    <w:p w:rsidR="004C1DB1" w:rsidRPr="00121B71" w:rsidRDefault="004C1DB1" w:rsidP="004C1DB1">
      <w:pPr>
        <w:spacing w:before="150" w:after="0" w:line="240" w:lineRule="auto"/>
        <w:rPr>
          <w:rFonts w:ascii="Arial" w:hAnsi="Arial" w:cs="Arial"/>
          <w:color w:val="000000"/>
          <w:sz w:val="23"/>
          <w:szCs w:val="23"/>
        </w:rPr>
      </w:pPr>
      <w:r w:rsidRPr="00121B71">
        <w:rPr>
          <w:rFonts w:ascii="Arial" w:hAnsi="Arial" w:cs="Arial"/>
          <w:color w:val="000000"/>
          <w:sz w:val="23"/>
          <w:szCs w:val="23"/>
        </w:rPr>
        <w:t>Wie in einer Gebrauchsanweisung dekliniert der BGH in dieser weit über den Einzelfall hinausgehenden Grundsatzentscheidung die Ansprüche des Bestellers, der einen Mangel nicht beseitigen lässt, durch. Dabei lässt er alternativ eine Schadensermittlung in Anlehnung an die Minderung und eine Rückkehr zum Vorschussanspruch zu (s. </w:t>
      </w:r>
      <w:hyperlink r:id="rId27" w:history="1">
        <w:r w:rsidRPr="00121B71">
          <w:rPr>
            <w:rFonts w:ascii="Arial" w:hAnsi="Arial" w:cs="Arial"/>
            <w:b/>
            <w:bCs/>
            <w:color w:val="336AA1"/>
            <w:sz w:val="23"/>
            <w:szCs w:val="23"/>
            <w:u w:val="single"/>
          </w:rPr>
          <w:t>IBR 2018, 197</w:t>
        </w:r>
      </w:hyperlink>
      <w:r w:rsidRPr="00121B71">
        <w:rPr>
          <w:rFonts w:ascii="Arial" w:hAnsi="Arial" w:cs="Arial"/>
          <w:color w:val="000000"/>
          <w:sz w:val="23"/>
          <w:szCs w:val="23"/>
        </w:rPr>
        <w:t> - in diesem Heft). Daneben kommt nunmehr auch seine Rechtsprechung zum Vorteilsausgleich in der Leistungskette (</w:t>
      </w:r>
      <w:hyperlink r:id="rId28" w:history="1">
        <w:r w:rsidRPr="00121B71">
          <w:rPr>
            <w:rFonts w:ascii="Arial" w:hAnsi="Arial" w:cs="Arial"/>
            <w:b/>
            <w:bCs/>
            <w:color w:val="336AA1"/>
            <w:sz w:val="23"/>
            <w:szCs w:val="23"/>
            <w:u w:val="single"/>
          </w:rPr>
          <w:t>IBR 2007, 604</w:t>
        </w:r>
      </w:hyperlink>
      <w:r w:rsidRPr="00121B71">
        <w:rPr>
          <w:rFonts w:ascii="Arial" w:hAnsi="Arial" w:cs="Arial"/>
          <w:color w:val="000000"/>
          <w:sz w:val="23"/>
          <w:szCs w:val="23"/>
        </w:rPr>
        <w:t>; </w:t>
      </w:r>
      <w:hyperlink r:id="rId29" w:history="1">
        <w:r w:rsidRPr="00121B71">
          <w:rPr>
            <w:rFonts w:ascii="Arial" w:hAnsi="Arial" w:cs="Arial"/>
            <w:b/>
            <w:bCs/>
            <w:color w:val="336AA1"/>
            <w:sz w:val="23"/>
            <w:szCs w:val="23"/>
            <w:u w:val="single"/>
          </w:rPr>
          <w:t>IBR 2011, 129</w:t>
        </w:r>
      </w:hyperlink>
      <w:r w:rsidRPr="00121B71">
        <w:rPr>
          <w:rFonts w:ascii="Arial" w:hAnsi="Arial" w:cs="Arial"/>
          <w:color w:val="000000"/>
          <w:sz w:val="23"/>
          <w:szCs w:val="23"/>
        </w:rPr>
        <w:t>) zumindest in ihrer Begründung auf den Prüfstand. Damit korrigiert der BGH mutig, aber zutreffend die bisher fehlende Differenzierung zwischen primären (insbesondere Vorschuss und Minderung) und sekundären (Schadensersatz) Mängelrechten, was auch mit Blick auf § </w:t>
      </w:r>
      <w:hyperlink r:id="rId30" w:history="1">
        <w:r w:rsidRPr="00121B71">
          <w:rPr>
            <w:rFonts w:ascii="Arial" w:hAnsi="Arial" w:cs="Arial"/>
            <w:b/>
            <w:bCs/>
            <w:color w:val="336AA1"/>
            <w:sz w:val="23"/>
            <w:szCs w:val="23"/>
            <w:u w:val="single"/>
          </w:rPr>
          <w:t>640</w:t>
        </w:r>
      </w:hyperlink>
      <w:r w:rsidRPr="00121B71">
        <w:rPr>
          <w:rFonts w:ascii="Arial" w:hAnsi="Arial" w:cs="Arial"/>
          <w:color w:val="000000"/>
          <w:sz w:val="23"/>
          <w:szCs w:val="23"/>
        </w:rPr>
        <w:t> Abs. 3 BGB (Verlust nicht bei Abnahme vorbehaltener primärer Mängelansprüche, unzutreffend auf den Schadensersatz erweiternd OLG Schleswig, </w:t>
      </w:r>
      <w:hyperlink r:id="rId31" w:history="1">
        <w:r w:rsidRPr="00121B71">
          <w:rPr>
            <w:rFonts w:ascii="Arial" w:hAnsi="Arial" w:cs="Arial"/>
            <w:b/>
            <w:bCs/>
            <w:color w:val="336AA1"/>
            <w:sz w:val="23"/>
            <w:szCs w:val="23"/>
            <w:u w:val="single"/>
          </w:rPr>
          <w:t>IBR 2016, 212</w:t>
        </w:r>
      </w:hyperlink>
      <w:r w:rsidRPr="00121B71">
        <w:rPr>
          <w:rFonts w:ascii="Arial" w:hAnsi="Arial" w:cs="Arial"/>
          <w:color w:val="000000"/>
          <w:sz w:val="23"/>
          <w:szCs w:val="23"/>
        </w:rPr>
        <w:t>) geboten erschien.</w:t>
      </w:r>
    </w:p>
    <w:p w:rsidR="00B1289F" w:rsidRPr="002E34DE" w:rsidRDefault="004C1DB1" w:rsidP="004C1DB1">
      <w:pPr>
        <w:pStyle w:val="idvdokumenttitel"/>
        <w:spacing w:before="75" w:beforeAutospacing="0" w:after="225" w:afterAutospacing="0" w:line="300" w:lineRule="auto"/>
        <w:rPr>
          <w:rFonts w:asciiTheme="minorHAnsi" w:hAnsiTheme="minorHAnsi" w:cstheme="minorHAnsi"/>
          <w:sz w:val="18"/>
          <w:szCs w:val="18"/>
        </w:rPr>
      </w:pPr>
      <w:hyperlink r:id="rId32" w:tgtFrame="documentWindow" w:history="1">
        <w:r w:rsidRPr="00121B71">
          <w:rPr>
            <w:rFonts w:ascii="Arial" w:hAnsi="Arial" w:cs="Arial"/>
            <w:b/>
            <w:bCs/>
            <w:i/>
            <w:iCs/>
            <w:color w:val="336AA1"/>
            <w:sz w:val="23"/>
            <w:szCs w:val="23"/>
            <w:u w:val="single"/>
          </w:rPr>
          <w:t>RA und FA für Bau- und Architektenrecht Prof. Dr. Heiko Fuchs, Mönchengladbach</w:t>
        </w:r>
      </w:hyperlink>
      <w:bookmarkStart w:id="0" w:name="_GoBack"/>
      <w:bookmarkEnd w:id="0"/>
    </w:p>
    <w:sectPr w:rsidR="00B1289F" w:rsidRPr="002E34DE" w:rsidSect="00587B83">
      <w:headerReference w:type="even" r:id="rId33"/>
      <w:headerReference w:type="default" r:id="rId34"/>
      <w:footerReference w:type="even" r:id="rId35"/>
      <w:footerReference w:type="default" r:id="rId36"/>
      <w:headerReference w:type="first" r:id="rId37"/>
      <w:footerReference w:type="first" r:id="rId38"/>
      <w:pgSz w:w="11906" w:h="16838"/>
      <w:pgMar w:top="1417" w:right="2550" w:bottom="1134" w:left="1417" w:header="2324" w:footer="907"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DC2" w:rsidRDefault="00795DC2" w:rsidP="000C14A4">
      <w:pPr>
        <w:spacing w:after="0" w:line="240" w:lineRule="auto"/>
      </w:pPr>
      <w:r>
        <w:separator/>
      </w:r>
    </w:p>
  </w:endnote>
  <w:endnote w:type="continuationSeparator" w:id="0">
    <w:p w:rsidR="00795DC2" w:rsidRDefault="00795DC2" w:rsidP="000C1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80" w:rsidRDefault="000A32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A20" w:rsidRDefault="00BD2A20" w:rsidP="000C14A4">
    <w:pPr>
      <w:pStyle w:val="Fuzeile"/>
      <w:jc w:val="center"/>
      <w:rPr>
        <w:color w:val="505053" w:themeColor="text2"/>
        <w:sz w:val="14"/>
        <w:szCs w:val="14"/>
      </w:rPr>
    </w:pPr>
  </w:p>
  <w:p w:rsidR="00BD2A20" w:rsidRDefault="00BD2A20" w:rsidP="000C14A4">
    <w:pPr>
      <w:pStyle w:val="Fuzeile"/>
      <w:jc w:val="center"/>
      <w:rPr>
        <w:color w:val="505053" w:themeColor="text2"/>
        <w:sz w:val="14"/>
        <w:szCs w:val="14"/>
      </w:rPr>
    </w:pPr>
  </w:p>
  <w:p w:rsidR="00BD2A20" w:rsidRDefault="00BD2A20" w:rsidP="0076004F">
    <w:pPr>
      <w:pStyle w:val="Fuzeile"/>
      <w:ind w:right="-992"/>
      <w:jc w:val="center"/>
      <w:rPr>
        <w:color w:val="505053" w:themeColor="text2"/>
        <w:sz w:val="14"/>
        <w:szCs w:val="14"/>
      </w:rPr>
    </w:pPr>
  </w:p>
  <w:p w:rsidR="000C14A4" w:rsidRPr="006A10FF" w:rsidRDefault="00226E80" w:rsidP="0076004F">
    <w:pPr>
      <w:pStyle w:val="Fuzeile"/>
      <w:tabs>
        <w:tab w:val="left" w:pos="8931"/>
      </w:tabs>
      <w:ind w:right="-992"/>
      <w:jc w:val="center"/>
      <w:rPr>
        <w:color w:val="505053" w:themeColor="text2"/>
        <w:sz w:val="14"/>
        <w:szCs w:val="14"/>
      </w:rPr>
    </w:pPr>
    <w:r>
      <w:rPr>
        <w:color w:val="505053" w:themeColor="text2"/>
        <w:sz w:val="14"/>
        <w:szCs w:val="14"/>
      </w:rPr>
      <w:t>ARGE</w:t>
    </w:r>
    <w:r w:rsidR="000C14A4" w:rsidRPr="006A10FF">
      <w:rPr>
        <w:color w:val="505053" w:themeColor="text2"/>
        <w:sz w:val="14"/>
        <w:szCs w:val="14"/>
      </w:rPr>
      <w:t xml:space="preserve"> </w:t>
    </w:r>
    <w:r>
      <w:rPr>
        <w:color w:val="505053" w:themeColor="text2"/>
        <w:sz w:val="14"/>
        <w:szCs w:val="14"/>
      </w:rPr>
      <w:t>B</w:t>
    </w:r>
    <w:r w:rsidR="000C14A4" w:rsidRPr="006A10FF">
      <w:rPr>
        <w:color w:val="505053" w:themeColor="text2"/>
        <w:sz w:val="14"/>
        <w:szCs w:val="14"/>
      </w:rPr>
      <w:t>aurecht im Deutschen</w:t>
    </w:r>
    <w:r>
      <w:rPr>
        <w:color w:val="505053" w:themeColor="text2"/>
        <w:sz w:val="14"/>
        <w:szCs w:val="14"/>
      </w:rPr>
      <w:t xml:space="preserve"> </w:t>
    </w:r>
    <w:r w:rsidR="000C14A4" w:rsidRPr="006A10FF">
      <w:rPr>
        <w:color w:val="505053" w:themeColor="text2"/>
        <w:sz w:val="14"/>
        <w:szCs w:val="14"/>
      </w:rPr>
      <w:t>Anwalt</w:t>
    </w:r>
    <w:r>
      <w:rPr>
        <w:color w:val="505053" w:themeColor="text2"/>
        <w:sz w:val="14"/>
        <w:szCs w:val="14"/>
      </w:rPr>
      <w:t>v</w:t>
    </w:r>
    <w:r w:rsidR="000C14A4" w:rsidRPr="006A10FF">
      <w:rPr>
        <w:color w:val="505053" w:themeColor="text2"/>
        <w:sz w:val="14"/>
        <w:szCs w:val="14"/>
      </w:rPr>
      <w:t xml:space="preserve">erein, Littenstraße 11, 10179 Berlin, Tel. 030 726152-0, Fax: 030 726152-190, </w:t>
    </w:r>
    <w:hyperlink r:id="rId1" w:history="1">
      <w:r w:rsidR="000C14A4" w:rsidRPr="006A10FF">
        <w:rPr>
          <w:rStyle w:val="Hyperlink"/>
          <w:rFonts w:cs="Calibri"/>
          <w:color w:val="505053" w:themeColor="text2"/>
          <w:sz w:val="14"/>
          <w:szCs w:val="14"/>
          <w:u w:val="none"/>
        </w:rPr>
        <w:t>dav@anwaltverein.de</w:t>
      </w:r>
    </w:hyperlink>
  </w:p>
  <w:p w:rsidR="000C14A4" w:rsidRDefault="000C14A4" w:rsidP="0076004F">
    <w:pPr>
      <w:pStyle w:val="Fuzeile"/>
      <w:tabs>
        <w:tab w:val="left" w:pos="8931"/>
      </w:tabs>
      <w:ind w:right="-992"/>
      <w:jc w:val="center"/>
      <w:rPr>
        <w:sz w:val="14"/>
        <w:szCs w:val="14"/>
      </w:rPr>
    </w:pPr>
  </w:p>
  <w:p w:rsidR="000C14A4" w:rsidRPr="00BD2A20" w:rsidRDefault="006A10FF" w:rsidP="0076004F">
    <w:pPr>
      <w:pStyle w:val="Fuzeile"/>
      <w:ind w:right="-992"/>
      <w:jc w:val="center"/>
    </w:pPr>
    <w:r w:rsidRPr="00BD2A20">
      <w:fldChar w:fldCharType="begin"/>
    </w:r>
    <w:r w:rsidRPr="00BD2A20">
      <w:instrText>PAGE   \* MERGEFORMAT</w:instrText>
    </w:r>
    <w:r w:rsidRPr="00BD2A20">
      <w:fldChar w:fldCharType="separate"/>
    </w:r>
    <w:r w:rsidR="004C1DB1">
      <w:rPr>
        <w:noProof/>
      </w:rPr>
      <w:t>2</w:t>
    </w:r>
    <w:r w:rsidRPr="00BD2A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80" w:rsidRDefault="000A32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DC2" w:rsidRDefault="00795DC2" w:rsidP="000C14A4">
      <w:pPr>
        <w:spacing w:after="0" w:line="240" w:lineRule="auto"/>
      </w:pPr>
      <w:r>
        <w:separator/>
      </w:r>
    </w:p>
  </w:footnote>
  <w:footnote w:type="continuationSeparator" w:id="0">
    <w:p w:rsidR="00795DC2" w:rsidRDefault="00795DC2" w:rsidP="000C1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80" w:rsidRDefault="000A32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4A4" w:rsidRDefault="00BB292F">
    <w:pPr>
      <w:pStyle w:val="Kopfzeile"/>
    </w:pPr>
    <w:r>
      <w:rPr>
        <w:noProof/>
      </w:rPr>
      <w:drawing>
        <wp:anchor distT="0" distB="0" distL="114300" distR="114300" simplePos="0" relativeHeight="251661312" behindDoc="0" locked="0" layoutInCell="1" allowOverlap="1">
          <wp:simplePos x="0" y="0"/>
          <wp:positionH relativeFrom="column">
            <wp:posOffset>2225040</wp:posOffset>
          </wp:positionH>
          <wp:positionV relativeFrom="paragraph">
            <wp:posOffset>-592124</wp:posOffset>
          </wp:positionV>
          <wp:extent cx="1540898" cy="360000"/>
          <wp:effectExtent l="0" t="0" r="2540" b="2540"/>
          <wp:wrapNone/>
          <wp:docPr id="5" name="Grafik 5" descr="https://www.dstgb.de/dstgb/Homepage/Schwerpunkte/Vergaberecht/Links/ibr-onlin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stgb.de/dstgb/Homepage/Schwerpunkte/Vergaberecht/Links/ibr-online-pag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984" t="34940" r="21080" b="35948"/>
                  <a:stretch/>
                </pic:blipFill>
                <pic:spPr bwMode="auto">
                  <a:xfrm>
                    <a:off x="0" y="0"/>
                    <a:ext cx="1540898"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489">
      <w:rPr>
        <w:noProof/>
      </w:rPr>
      <w:drawing>
        <wp:anchor distT="0" distB="0" distL="114300" distR="114300" simplePos="0" relativeHeight="251659264" behindDoc="0" locked="1" layoutInCell="1" allowOverlap="0">
          <wp:simplePos x="0" y="0"/>
          <wp:positionH relativeFrom="page">
            <wp:posOffset>5177155</wp:posOffset>
          </wp:positionH>
          <wp:positionV relativeFrom="page">
            <wp:posOffset>628650</wp:posOffset>
          </wp:positionV>
          <wp:extent cx="1436370" cy="612140"/>
          <wp:effectExtent l="0" t="0" r="0" b="0"/>
          <wp:wrapNone/>
          <wp:docPr id="1" name="Grafik 3" descr="DA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AV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37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489">
      <w:rPr>
        <w:noProof/>
      </w:rPr>
      <w:drawing>
        <wp:anchor distT="0" distB="0" distL="114300" distR="114300" simplePos="0" relativeHeight="251660288" behindDoc="0" locked="1" layoutInCell="1" allowOverlap="0">
          <wp:simplePos x="0" y="0"/>
          <wp:positionH relativeFrom="page">
            <wp:posOffset>967105</wp:posOffset>
          </wp:positionH>
          <wp:positionV relativeFrom="page">
            <wp:posOffset>824865</wp:posOffset>
          </wp:positionV>
          <wp:extent cx="1722120" cy="411480"/>
          <wp:effectExtent l="0" t="0" r="0" b="7620"/>
          <wp:wrapNone/>
          <wp:docPr id="2" name="Grafik 9" descr="Logo-Arge-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Logo-Arge-Ba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2120" cy="41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280" w:rsidRDefault="000A32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05590"/>
    <w:multiLevelType w:val="multilevel"/>
    <w:tmpl w:val="90DC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43C9B"/>
    <w:multiLevelType w:val="hybridMultilevel"/>
    <w:tmpl w:val="2CF8A424"/>
    <w:lvl w:ilvl="0" w:tplc="BA1AED74">
      <w:start w:val="2012"/>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8C4454"/>
    <w:multiLevelType w:val="hybridMultilevel"/>
    <w:tmpl w:val="331E69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DNummerPH" w:val="fehlt"/>
  </w:docVars>
  <w:rsids>
    <w:rsidRoot w:val="00584AC4"/>
    <w:rsid w:val="00005002"/>
    <w:rsid w:val="0001089A"/>
    <w:rsid w:val="00032AAD"/>
    <w:rsid w:val="00033D60"/>
    <w:rsid w:val="00040525"/>
    <w:rsid w:val="00040868"/>
    <w:rsid w:val="0004263B"/>
    <w:rsid w:val="000528D9"/>
    <w:rsid w:val="00052A74"/>
    <w:rsid w:val="00064A02"/>
    <w:rsid w:val="00064F74"/>
    <w:rsid w:val="00076ABD"/>
    <w:rsid w:val="00081A41"/>
    <w:rsid w:val="00085A7C"/>
    <w:rsid w:val="00094744"/>
    <w:rsid w:val="000A3280"/>
    <w:rsid w:val="000A67FB"/>
    <w:rsid w:val="000C14A4"/>
    <w:rsid w:val="000C4DDD"/>
    <w:rsid w:val="000C5E10"/>
    <w:rsid w:val="000C7910"/>
    <w:rsid w:val="000D109E"/>
    <w:rsid w:val="000D2CAE"/>
    <w:rsid w:val="000D4238"/>
    <w:rsid w:val="000D440F"/>
    <w:rsid w:val="000E0BFE"/>
    <w:rsid w:val="000E1921"/>
    <w:rsid w:val="000E3784"/>
    <w:rsid w:val="000F3090"/>
    <w:rsid w:val="000F30E7"/>
    <w:rsid w:val="00100B5B"/>
    <w:rsid w:val="0010387E"/>
    <w:rsid w:val="00106A6F"/>
    <w:rsid w:val="00125EA1"/>
    <w:rsid w:val="00141CDB"/>
    <w:rsid w:val="00143107"/>
    <w:rsid w:val="00145749"/>
    <w:rsid w:val="001563B3"/>
    <w:rsid w:val="00162FFB"/>
    <w:rsid w:val="0017507F"/>
    <w:rsid w:val="00194AF2"/>
    <w:rsid w:val="001B0CDC"/>
    <w:rsid w:val="001B0EA4"/>
    <w:rsid w:val="001B1429"/>
    <w:rsid w:val="001B630B"/>
    <w:rsid w:val="001C22CA"/>
    <w:rsid w:val="001D0077"/>
    <w:rsid w:val="001D5336"/>
    <w:rsid w:val="001D73A6"/>
    <w:rsid w:val="001E479F"/>
    <w:rsid w:val="001F0489"/>
    <w:rsid w:val="001F2978"/>
    <w:rsid w:val="001F71CE"/>
    <w:rsid w:val="001F7B3A"/>
    <w:rsid w:val="00202E32"/>
    <w:rsid w:val="00207A11"/>
    <w:rsid w:val="00207F1C"/>
    <w:rsid w:val="00215FDC"/>
    <w:rsid w:val="00217268"/>
    <w:rsid w:val="0022092C"/>
    <w:rsid w:val="00221863"/>
    <w:rsid w:val="002231A5"/>
    <w:rsid w:val="00226E80"/>
    <w:rsid w:val="00230C3E"/>
    <w:rsid w:val="00240024"/>
    <w:rsid w:val="002417C0"/>
    <w:rsid w:val="00245167"/>
    <w:rsid w:val="00253BED"/>
    <w:rsid w:val="00263079"/>
    <w:rsid w:val="002657AE"/>
    <w:rsid w:val="00272D9A"/>
    <w:rsid w:val="00273F41"/>
    <w:rsid w:val="002743EF"/>
    <w:rsid w:val="00277122"/>
    <w:rsid w:val="00283A74"/>
    <w:rsid w:val="002925DD"/>
    <w:rsid w:val="0029380F"/>
    <w:rsid w:val="00295644"/>
    <w:rsid w:val="002B689C"/>
    <w:rsid w:val="002E34DE"/>
    <w:rsid w:val="002F04D5"/>
    <w:rsid w:val="002F62C5"/>
    <w:rsid w:val="00303E6D"/>
    <w:rsid w:val="00307693"/>
    <w:rsid w:val="00310251"/>
    <w:rsid w:val="00317646"/>
    <w:rsid w:val="0032207D"/>
    <w:rsid w:val="003414DC"/>
    <w:rsid w:val="00341AEE"/>
    <w:rsid w:val="003420F6"/>
    <w:rsid w:val="0034267D"/>
    <w:rsid w:val="00345C28"/>
    <w:rsid w:val="003532D6"/>
    <w:rsid w:val="0035481C"/>
    <w:rsid w:val="00354F5F"/>
    <w:rsid w:val="00361E64"/>
    <w:rsid w:val="00366D7B"/>
    <w:rsid w:val="00367787"/>
    <w:rsid w:val="0038689A"/>
    <w:rsid w:val="0039528B"/>
    <w:rsid w:val="003A651A"/>
    <w:rsid w:val="003B3A56"/>
    <w:rsid w:val="003B528D"/>
    <w:rsid w:val="003D28B7"/>
    <w:rsid w:val="003D70CA"/>
    <w:rsid w:val="003E1BC4"/>
    <w:rsid w:val="003E21B3"/>
    <w:rsid w:val="003E6358"/>
    <w:rsid w:val="003E6A2D"/>
    <w:rsid w:val="003E6BCF"/>
    <w:rsid w:val="003F6BCB"/>
    <w:rsid w:val="003F73EA"/>
    <w:rsid w:val="00405194"/>
    <w:rsid w:val="00413A10"/>
    <w:rsid w:val="004172C6"/>
    <w:rsid w:val="00427EA5"/>
    <w:rsid w:val="00431C85"/>
    <w:rsid w:val="00432D26"/>
    <w:rsid w:val="00444320"/>
    <w:rsid w:val="0044528D"/>
    <w:rsid w:val="00445447"/>
    <w:rsid w:val="0046081C"/>
    <w:rsid w:val="00461994"/>
    <w:rsid w:val="00467746"/>
    <w:rsid w:val="00467F22"/>
    <w:rsid w:val="00485472"/>
    <w:rsid w:val="004973A0"/>
    <w:rsid w:val="004A05E5"/>
    <w:rsid w:val="004A3448"/>
    <w:rsid w:val="004A6573"/>
    <w:rsid w:val="004C076F"/>
    <w:rsid w:val="004C1DB1"/>
    <w:rsid w:val="004C235E"/>
    <w:rsid w:val="004C543B"/>
    <w:rsid w:val="004D36B8"/>
    <w:rsid w:val="004E06D5"/>
    <w:rsid w:val="004E2A5F"/>
    <w:rsid w:val="004F0F99"/>
    <w:rsid w:val="004F119A"/>
    <w:rsid w:val="004F53F7"/>
    <w:rsid w:val="004F6A18"/>
    <w:rsid w:val="00504543"/>
    <w:rsid w:val="00505705"/>
    <w:rsid w:val="00514B22"/>
    <w:rsid w:val="005436C2"/>
    <w:rsid w:val="00552641"/>
    <w:rsid w:val="00552712"/>
    <w:rsid w:val="0055639B"/>
    <w:rsid w:val="00566263"/>
    <w:rsid w:val="0056711D"/>
    <w:rsid w:val="00570163"/>
    <w:rsid w:val="00573B55"/>
    <w:rsid w:val="00574822"/>
    <w:rsid w:val="00575CAF"/>
    <w:rsid w:val="005779EF"/>
    <w:rsid w:val="0058099D"/>
    <w:rsid w:val="00584AC4"/>
    <w:rsid w:val="00585F18"/>
    <w:rsid w:val="00587B83"/>
    <w:rsid w:val="005949D1"/>
    <w:rsid w:val="005A5B2A"/>
    <w:rsid w:val="005A5DF4"/>
    <w:rsid w:val="005A6608"/>
    <w:rsid w:val="005C51BB"/>
    <w:rsid w:val="005C555B"/>
    <w:rsid w:val="005D00AF"/>
    <w:rsid w:val="005D2C93"/>
    <w:rsid w:val="005D31E4"/>
    <w:rsid w:val="005E0F12"/>
    <w:rsid w:val="005E398E"/>
    <w:rsid w:val="005E442E"/>
    <w:rsid w:val="005F001B"/>
    <w:rsid w:val="005F1B84"/>
    <w:rsid w:val="005F7F4A"/>
    <w:rsid w:val="00613FBF"/>
    <w:rsid w:val="00614EBB"/>
    <w:rsid w:val="00621FB1"/>
    <w:rsid w:val="00623895"/>
    <w:rsid w:val="006307C6"/>
    <w:rsid w:val="00637FCE"/>
    <w:rsid w:val="0065613D"/>
    <w:rsid w:val="00657E7A"/>
    <w:rsid w:val="0066078D"/>
    <w:rsid w:val="0066084B"/>
    <w:rsid w:val="0066552A"/>
    <w:rsid w:val="006672C8"/>
    <w:rsid w:val="00671761"/>
    <w:rsid w:val="006719AD"/>
    <w:rsid w:val="006720CC"/>
    <w:rsid w:val="00673358"/>
    <w:rsid w:val="00675E36"/>
    <w:rsid w:val="006767FB"/>
    <w:rsid w:val="00680B7D"/>
    <w:rsid w:val="0068183E"/>
    <w:rsid w:val="00692063"/>
    <w:rsid w:val="00692B6D"/>
    <w:rsid w:val="00694DFB"/>
    <w:rsid w:val="0069613C"/>
    <w:rsid w:val="00696B70"/>
    <w:rsid w:val="006A10FF"/>
    <w:rsid w:val="006A25F6"/>
    <w:rsid w:val="006A5756"/>
    <w:rsid w:val="006B726E"/>
    <w:rsid w:val="006C0A82"/>
    <w:rsid w:val="006D46CB"/>
    <w:rsid w:val="006D589B"/>
    <w:rsid w:val="006E47B9"/>
    <w:rsid w:val="006E4BD3"/>
    <w:rsid w:val="006E7BE6"/>
    <w:rsid w:val="006F7712"/>
    <w:rsid w:val="007031F5"/>
    <w:rsid w:val="00710F22"/>
    <w:rsid w:val="00712EF1"/>
    <w:rsid w:val="00714942"/>
    <w:rsid w:val="00734FB1"/>
    <w:rsid w:val="00735351"/>
    <w:rsid w:val="00736FB1"/>
    <w:rsid w:val="00737CD8"/>
    <w:rsid w:val="00755A68"/>
    <w:rsid w:val="0076004F"/>
    <w:rsid w:val="00765BF1"/>
    <w:rsid w:val="007664AF"/>
    <w:rsid w:val="00771040"/>
    <w:rsid w:val="00772845"/>
    <w:rsid w:val="0077525A"/>
    <w:rsid w:val="0078147A"/>
    <w:rsid w:val="007818DC"/>
    <w:rsid w:val="007861F0"/>
    <w:rsid w:val="0079173B"/>
    <w:rsid w:val="00795DC2"/>
    <w:rsid w:val="007A0558"/>
    <w:rsid w:val="007A2C99"/>
    <w:rsid w:val="007B3ED6"/>
    <w:rsid w:val="007C6282"/>
    <w:rsid w:val="007C7F19"/>
    <w:rsid w:val="007F74ED"/>
    <w:rsid w:val="00801F16"/>
    <w:rsid w:val="00807322"/>
    <w:rsid w:val="00807936"/>
    <w:rsid w:val="00810B52"/>
    <w:rsid w:val="0081575F"/>
    <w:rsid w:val="00815D7B"/>
    <w:rsid w:val="008249A9"/>
    <w:rsid w:val="00826704"/>
    <w:rsid w:val="008269E3"/>
    <w:rsid w:val="00850927"/>
    <w:rsid w:val="00861135"/>
    <w:rsid w:val="00862D05"/>
    <w:rsid w:val="008638E7"/>
    <w:rsid w:val="0087588C"/>
    <w:rsid w:val="00883873"/>
    <w:rsid w:val="00890149"/>
    <w:rsid w:val="00897856"/>
    <w:rsid w:val="008A44EC"/>
    <w:rsid w:val="008A6910"/>
    <w:rsid w:val="008B0F02"/>
    <w:rsid w:val="008B2765"/>
    <w:rsid w:val="008C6AFE"/>
    <w:rsid w:val="008D011D"/>
    <w:rsid w:val="008D5AFF"/>
    <w:rsid w:val="008D6C0E"/>
    <w:rsid w:val="008E1206"/>
    <w:rsid w:val="008E3F09"/>
    <w:rsid w:val="008E5EC7"/>
    <w:rsid w:val="008F41E7"/>
    <w:rsid w:val="008F497C"/>
    <w:rsid w:val="009056BA"/>
    <w:rsid w:val="00910080"/>
    <w:rsid w:val="00913E2B"/>
    <w:rsid w:val="009157E9"/>
    <w:rsid w:val="00920714"/>
    <w:rsid w:val="00932EE0"/>
    <w:rsid w:val="0093599E"/>
    <w:rsid w:val="00947870"/>
    <w:rsid w:val="00951288"/>
    <w:rsid w:val="00951C2B"/>
    <w:rsid w:val="0095674C"/>
    <w:rsid w:val="00967246"/>
    <w:rsid w:val="00970F0D"/>
    <w:rsid w:val="00971BFF"/>
    <w:rsid w:val="00982869"/>
    <w:rsid w:val="00982C8E"/>
    <w:rsid w:val="00985792"/>
    <w:rsid w:val="00987598"/>
    <w:rsid w:val="00987FC8"/>
    <w:rsid w:val="009A0F84"/>
    <w:rsid w:val="009B256D"/>
    <w:rsid w:val="009C302C"/>
    <w:rsid w:val="009C320D"/>
    <w:rsid w:val="009C5C23"/>
    <w:rsid w:val="009C6516"/>
    <w:rsid w:val="009D0191"/>
    <w:rsid w:val="009D17B1"/>
    <w:rsid w:val="009E05BE"/>
    <w:rsid w:val="009E274A"/>
    <w:rsid w:val="00A01232"/>
    <w:rsid w:val="00A0705C"/>
    <w:rsid w:val="00A13EBD"/>
    <w:rsid w:val="00A13FAD"/>
    <w:rsid w:val="00A164F5"/>
    <w:rsid w:val="00A20110"/>
    <w:rsid w:val="00A21181"/>
    <w:rsid w:val="00A255E6"/>
    <w:rsid w:val="00A31CDA"/>
    <w:rsid w:val="00A373F7"/>
    <w:rsid w:val="00A53689"/>
    <w:rsid w:val="00A53EB1"/>
    <w:rsid w:val="00A64DFC"/>
    <w:rsid w:val="00A654D1"/>
    <w:rsid w:val="00A75822"/>
    <w:rsid w:val="00A75B7B"/>
    <w:rsid w:val="00A80649"/>
    <w:rsid w:val="00A9339D"/>
    <w:rsid w:val="00AA403C"/>
    <w:rsid w:val="00AA7F67"/>
    <w:rsid w:val="00AB23C3"/>
    <w:rsid w:val="00AB537A"/>
    <w:rsid w:val="00AD177C"/>
    <w:rsid w:val="00AE19C2"/>
    <w:rsid w:val="00AE4B78"/>
    <w:rsid w:val="00AE7F12"/>
    <w:rsid w:val="00B1226E"/>
    <w:rsid w:val="00B1289F"/>
    <w:rsid w:val="00B311FE"/>
    <w:rsid w:val="00B42560"/>
    <w:rsid w:val="00B426E4"/>
    <w:rsid w:val="00B54F5D"/>
    <w:rsid w:val="00B55327"/>
    <w:rsid w:val="00B60EBA"/>
    <w:rsid w:val="00B6656E"/>
    <w:rsid w:val="00B673A7"/>
    <w:rsid w:val="00B72595"/>
    <w:rsid w:val="00B736C6"/>
    <w:rsid w:val="00B838D5"/>
    <w:rsid w:val="00B9476A"/>
    <w:rsid w:val="00BA312B"/>
    <w:rsid w:val="00BA3E18"/>
    <w:rsid w:val="00BB292F"/>
    <w:rsid w:val="00BB4912"/>
    <w:rsid w:val="00BB709A"/>
    <w:rsid w:val="00BC18BA"/>
    <w:rsid w:val="00BC21F4"/>
    <w:rsid w:val="00BD2A20"/>
    <w:rsid w:val="00BD64B7"/>
    <w:rsid w:val="00BD7C47"/>
    <w:rsid w:val="00BE10D2"/>
    <w:rsid w:val="00BE2670"/>
    <w:rsid w:val="00BE26A6"/>
    <w:rsid w:val="00BE7DD8"/>
    <w:rsid w:val="00BF047D"/>
    <w:rsid w:val="00BF1690"/>
    <w:rsid w:val="00BF5505"/>
    <w:rsid w:val="00C01D05"/>
    <w:rsid w:val="00C037F7"/>
    <w:rsid w:val="00C070B8"/>
    <w:rsid w:val="00C13FD7"/>
    <w:rsid w:val="00C24C39"/>
    <w:rsid w:val="00C30A3D"/>
    <w:rsid w:val="00C33B49"/>
    <w:rsid w:val="00C368CD"/>
    <w:rsid w:val="00C46F9F"/>
    <w:rsid w:val="00C52382"/>
    <w:rsid w:val="00C70F60"/>
    <w:rsid w:val="00C73D4C"/>
    <w:rsid w:val="00C7481A"/>
    <w:rsid w:val="00CC46E0"/>
    <w:rsid w:val="00CD6908"/>
    <w:rsid w:val="00CE5364"/>
    <w:rsid w:val="00CE71D2"/>
    <w:rsid w:val="00CF3BFD"/>
    <w:rsid w:val="00CF4993"/>
    <w:rsid w:val="00CF64E0"/>
    <w:rsid w:val="00D12C24"/>
    <w:rsid w:val="00D22380"/>
    <w:rsid w:val="00D2364E"/>
    <w:rsid w:val="00D25DB2"/>
    <w:rsid w:val="00D34090"/>
    <w:rsid w:val="00D3698B"/>
    <w:rsid w:val="00D37D89"/>
    <w:rsid w:val="00D5122A"/>
    <w:rsid w:val="00D5532B"/>
    <w:rsid w:val="00D607FA"/>
    <w:rsid w:val="00D62DF0"/>
    <w:rsid w:val="00D71181"/>
    <w:rsid w:val="00D74403"/>
    <w:rsid w:val="00D7588E"/>
    <w:rsid w:val="00D82E81"/>
    <w:rsid w:val="00D836B3"/>
    <w:rsid w:val="00D849E4"/>
    <w:rsid w:val="00D92575"/>
    <w:rsid w:val="00D958EA"/>
    <w:rsid w:val="00DA6E69"/>
    <w:rsid w:val="00DB3DC2"/>
    <w:rsid w:val="00DB5749"/>
    <w:rsid w:val="00DB6DF9"/>
    <w:rsid w:val="00DC21F9"/>
    <w:rsid w:val="00DC72D4"/>
    <w:rsid w:val="00DD53C4"/>
    <w:rsid w:val="00DD6AFB"/>
    <w:rsid w:val="00DE02D0"/>
    <w:rsid w:val="00DE1D1E"/>
    <w:rsid w:val="00DE39E0"/>
    <w:rsid w:val="00DE79A5"/>
    <w:rsid w:val="00E00F1A"/>
    <w:rsid w:val="00E23D9A"/>
    <w:rsid w:val="00E306F0"/>
    <w:rsid w:val="00E41DDB"/>
    <w:rsid w:val="00E44197"/>
    <w:rsid w:val="00E633E6"/>
    <w:rsid w:val="00E65640"/>
    <w:rsid w:val="00E77C8C"/>
    <w:rsid w:val="00E92FCB"/>
    <w:rsid w:val="00EB2F5D"/>
    <w:rsid w:val="00EB347D"/>
    <w:rsid w:val="00EB3F8C"/>
    <w:rsid w:val="00EB554A"/>
    <w:rsid w:val="00EC14FD"/>
    <w:rsid w:val="00ED0267"/>
    <w:rsid w:val="00ED3BB3"/>
    <w:rsid w:val="00EE39C6"/>
    <w:rsid w:val="00EF7FEB"/>
    <w:rsid w:val="00F01C1E"/>
    <w:rsid w:val="00F10F72"/>
    <w:rsid w:val="00F127CF"/>
    <w:rsid w:val="00F16589"/>
    <w:rsid w:val="00F16DCA"/>
    <w:rsid w:val="00F244A2"/>
    <w:rsid w:val="00F25C76"/>
    <w:rsid w:val="00F33D18"/>
    <w:rsid w:val="00F40716"/>
    <w:rsid w:val="00F4111E"/>
    <w:rsid w:val="00F42E27"/>
    <w:rsid w:val="00F54408"/>
    <w:rsid w:val="00F70B2D"/>
    <w:rsid w:val="00F75B36"/>
    <w:rsid w:val="00F90C7B"/>
    <w:rsid w:val="00F97581"/>
    <w:rsid w:val="00FA0517"/>
    <w:rsid w:val="00FA1592"/>
    <w:rsid w:val="00FA370A"/>
    <w:rsid w:val="00FB499B"/>
    <w:rsid w:val="00FC2FA2"/>
    <w:rsid w:val="00FC6412"/>
    <w:rsid w:val="00FC6F82"/>
    <w:rsid w:val="00FC757C"/>
    <w:rsid w:val="00FD14CC"/>
    <w:rsid w:val="00FD24E2"/>
    <w:rsid w:val="00FD6B85"/>
    <w:rsid w:val="00FF06BE"/>
    <w:rsid w:val="00FF10F2"/>
    <w:rsid w:val="00FF7D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efaultImageDpi w14:val="0"/>
  <w15:docId w15:val="{6871620A-6C18-435D-86C4-B47599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2FA2"/>
    <w:pPr>
      <w:spacing w:line="300" w:lineRule="auto"/>
      <w:textboxTightWrap w:val="allLines"/>
    </w:pPr>
    <w:rPr>
      <w:rFonts w:cs="Calibri"/>
      <w:kern w:val="22"/>
      <w:szCs w:val="20"/>
      <w:lang w:eastAsia="de-DE"/>
    </w:rPr>
  </w:style>
  <w:style w:type="paragraph" w:styleId="berschrift1">
    <w:name w:val="heading 1"/>
    <w:basedOn w:val="Standard"/>
    <w:next w:val="Standard"/>
    <w:link w:val="berschrift1Zchn"/>
    <w:uiPriority w:val="9"/>
    <w:qFormat/>
    <w:rsid w:val="00100B5B"/>
    <w:pPr>
      <w:keepNext/>
      <w:keepLines/>
      <w:spacing w:before="480" w:after="0"/>
      <w:outlineLvl w:val="0"/>
    </w:pPr>
    <w:rPr>
      <w:rFonts w:asciiTheme="majorHAnsi" w:eastAsiaTheme="majorEastAsia" w:hAnsiTheme="majorHAnsi" w:cs="Times New Roman"/>
      <w:b/>
      <w:bCs/>
      <w:color w:val="3C3C3E" w:themeColor="accent1" w:themeShade="BF"/>
      <w:sz w:val="28"/>
      <w:szCs w:val="28"/>
    </w:rPr>
  </w:style>
  <w:style w:type="paragraph" w:styleId="berschrift2">
    <w:name w:val="heading 2"/>
    <w:basedOn w:val="Standard"/>
    <w:next w:val="Standard"/>
    <w:link w:val="berschrift2Zchn"/>
    <w:uiPriority w:val="9"/>
    <w:semiHidden/>
    <w:unhideWhenUsed/>
    <w:qFormat/>
    <w:rsid w:val="0056711D"/>
    <w:pPr>
      <w:keepNext/>
      <w:keepLines/>
      <w:spacing w:before="200" w:after="0"/>
      <w:outlineLvl w:val="1"/>
    </w:pPr>
    <w:rPr>
      <w:rFonts w:asciiTheme="majorHAnsi" w:eastAsiaTheme="majorEastAsia" w:hAnsiTheme="majorHAnsi" w:cs="Times New Roman"/>
      <w:b/>
      <w:bCs/>
      <w:color w:val="505053" w:themeColor="accent1"/>
      <w:sz w:val="26"/>
      <w:szCs w:val="26"/>
    </w:rPr>
  </w:style>
  <w:style w:type="paragraph" w:styleId="berschrift3">
    <w:name w:val="heading 3"/>
    <w:basedOn w:val="Standard"/>
    <w:link w:val="berschrift3Zchn"/>
    <w:uiPriority w:val="9"/>
    <w:qFormat/>
    <w:rsid w:val="0001089A"/>
    <w:pPr>
      <w:spacing w:before="100" w:beforeAutospacing="1" w:after="100" w:afterAutospacing="1" w:line="240" w:lineRule="auto"/>
      <w:textboxTightWrap w:val="none"/>
      <w:outlineLvl w:val="2"/>
    </w:pPr>
    <w:rPr>
      <w:rFonts w:ascii="Times New Roman" w:hAnsi="Times New Roman" w:cs="Times New Roman"/>
      <w:b/>
      <w:bCs/>
      <w:kern w:val="0"/>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100B5B"/>
    <w:rPr>
      <w:rFonts w:asciiTheme="majorHAnsi" w:eastAsiaTheme="majorEastAsia" w:hAnsiTheme="majorHAnsi" w:cs="Times New Roman"/>
      <w:b/>
      <w:bCs/>
      <w:color w:val="3C3C3E" w:themeColor="accent1" w:themeShade="BF"/>
      <w:kern w:val="22"/>
      <w:sz w:val="28"/>
      <w:szCs w:val="28"/>
      <w:lang w:val="x-none" w:eastAsia="de-DE"/>
    </w:rPr>
  </w:style>
  <w:style w:type="character" w:customStyle="1" w:styleId="berschrift2Zchn">
    <w:name w:val="Überschrift 2 Zchn"/>
    <w:basedOn w:val="Absatz-Standardschriftart"/>
    <w:link w:val="berschrift2"/>
    <w:uiPriority w:val="9"/>
    <w:semiHidden/>
    <w:locked/>
    <w:rsid w:val="0056711D"/>
    <w:rPr>
      <w:rFonts w:asciiTheme="majorHAnsi" w:eastAsiaTheme="majorEastAsia" w:hAnsiTheme="majorHAnsi" w:cs="Times New Roman"/>
      <w:b/>
      <w:bCs/>
      <w:color w:val="505053" w:themeColor="accent1"/>
      <w:kern w:val="22"/>
      <w:sz w:val="26"/>
      <w:szCs w:val="26"/>
      <w:lang w:val="x-none" w:eastAsia="de-DE"/>
    </w:rPr>
  </w:style>
  <w:style w:type="character" w:customStyle="1" w:styleId="berschrift3Zchn">
    <w:name w:val="Überschrift 3 Zchn"/>
    <w:basedOn w:val="Absatz-Standardschriftart"/>
    <w:link w:val="berschrift3"/>
    <w:uiPriority w:val="9"/>
    <w:locked/>
    <w:rsid w:val="0001089A"/>
    <w:rPr>
      <w:rFonts w:ascii="Times New Roman" w:hAnsi="Times New Roman" w:cs="Times New Roman"/>
      <w:b/>
      <w:bCs/>
      <w:sz w:val="27"/>
      <w:szCs w:val="27"/>
      <w:lang w:val="x-none" w:eastAsia="de-DE"/>
    </w:rPr>
  </w:style>
  <w:style w:type="paragraph" w:styleId="Sprechblasentext">
    <w:name w:val="Balloon Text"/>
    <w:basedOn w:val="Standard"/>
    <w:link w:val="SprechblasentextZchn"/>
    <w:uiPriority w:val="99"/>
    <w:semiHidden/>
    <w:unhideWhenUsed/>
    <w:rsid w:val="003426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4267D"/>
    <w:rPr>
      <w:rFonts w:ascii="Tahoma" w:hAnsi="Tahoma" w:cs="Tahoma"/>
      <w:kern w:val="22"/>
      <w:sz w:val="16"/>
      <w:szCs w:val="16"/>
      <w:lang w:val="x-none" w:eastAsia="de-DE"/>
    </w:rPr>
  </w:style>
  <w:style w:type="paragraph" w:styleId="Kopfzeile">
    <w:name w:val="header"/>
    <w:basedOn w:val="Standard"/>
    <w:link w:val="KopfzeileZchn"/>
    <w:uiPriority w:val="99"/>
    <w:unhideWhenUsed/>
    <w:rsid w:val="000C14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C14A4"/>
    <w:rPr>
      <w:rFonts w:cs="Calibri"/>
      <w:kern w:val="22"/>
      <w:sz w:val="20"/>
      <w:szCs w:val="20"/>
      <w:lang w:val="x-none" w:eastAsia="de-DE"/>
    </w:rPr>
  </w:style>
  <w:style w:type="paragraph" w:styleId="Fuzeile">
    <w:name w:val="footer"/>
    <w:basedOn w:val="Standard"/>
    <w:link w:val="FuzeileZchn"/>
    <w:uiPriority w:val="99"/>
    <w:unhideWhenUsed/>
    <w:rsid w:val="000C14A4"/>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C14A4"/>
    <w:rPr>
      <w:rFonts w:cs="Calibri"/>
      <w:kern w:val="22"/>
      <w:sz w:val="20"/>
      <w:szCs w:val="20"/>
      <w:lang w:val="x-none" w:eastAsia="de-DE"/>
    </w:rPr>
  </w:style>
  <w:style w:type="character" w:styleId="Hyperlink">
    <w:name w:val="Hyperlink"/>
    <w:basedOn w:val="Absatz-Standardschriftart"/>
    <w:uiPriority w:val="99"/>
    <w:unhideWhenUsed/>
    <w:rsid w:val="000C14A4"/>
    <w:rPr>
      <w:rFonts w:cs="Times New Roman"/>
      <w:color w:val="0000FF" w:themeColor="hyperlink"/>
      <w:u w:val="single"/>
    </w:rPr>
  </w:style>
  <w:style w:type="character" w:styleId="Zeilennummer">
    <w:name w:val="line number"/>
    <w:basedOn w:val="Absatz-Standardschriftart"/>
    <w:uiPriority w:val="99"/>
    <w:semiHidden/>
    <w:unhideWhenUsed/>
    <w:rsid w:val="000C14A4"/>
    <w:rPr>
      <w:rFonts w:cs="Times New Roman"/>
    </w:rPr>
  </w:style>
  <w:style w:type="paragraph" w:styleId="Beschriftung">
    <w:name w:val="caption"/>
    <w:basedOn w:val="Standard"/>
    <w:next w:val="Standard"/>
    <w:uiPriority w:val="35"/>
    <w:unhideWhenUsed/>
    <w:qFormat/>
    <w:rsid w:val="00734FB1"/>
    <w:pPr>
      <w:spacing w:line="240" w:lineRule="auto"/>
    </w:pPr>
    <w:rPr>
      <w:b/>
      <w:bCs/>
      <w:color w:val="505053" w:themeColor="accent1"/>
      <w:sz w:val="18"/>
      <w:szCs w:val="18"/>
    </w:rPr>
  </w:style>
  <w:style w:type="paragraph" w:customStyle="1" w:styleId="Adresse">
    <w:name w:val="Adresse"/>
    <w:basedOn w:val="Standard"/>
    <w:link w:val="AdresseZchn"/>
    <w:qFormat/>
    <w:rsid w:val="00354F5F"/>
    <w:pPr>
      <w:spacing w:after="0" w:line="240" w:lineRule="auto"/>
    </w:pPr>
    <w:rPr>
      <w:b/>
      <w:sz w:val="20"/>
    </w:rPr>
  </w:style>
  <w:style w:type="character" w:customStyle="1" w:styleId="AdresseZchn">
    <w:name w:val="Adresse Zchn"/>
    <w:basedOn w:val="Absatz-Standardschriftart"/>
    <w:link w:val="Adresse"/>
    <w:locked/>
    <w:rsid w:val="00354F5F"/>
    <w:rPr>
      <w:rFonts w:cs="Calibri"/>
      <w:b/>
      <w:kern w:val="22"/>
      <w:sz w:val="20"/>
      <w:szCs w:val="20"/>
      <w:lang w:val="x-none" w:eastAsia="de-DE"/>
    </w:rPr>
  </w:style>
  <w:style w:type="character" w:customStyle="1" w:styleId="apple-converted-space">
    <w:name w:val="apple-converted-space"/>
    <w:basedOn w:val="Absatz-Standardschriftart"/>
    <w:rsid w:val="004F0F99"/>
    <w:rPr>
      <w:rFonts w:cs="Times New Roman"/>
    </w:rPr>
  </w:style>
  <w:style w:type="character" w:styleId="Kommentarzeichen">
    <w:name w:val="annotation reference"/>
    <w:basedOn w:val="Absatz-Standardschriftart"/>
    <w:uiPriority w:val="99"/>
    <w:semiHidden/>
    <w:unhideWhenUsed/>
    <w:rsid w:val="00D5532B"/>
    <w:rPr>
      <w:rFonts w:cs="Times New Roman"/>
      <w:sz w:val="16"/>
      <w:szCs w:val="16"/>
    </w:rPr>
  </w:style>
  <w:style w:type="paragraph" w:styleId="Kommentartext">
    <w:name w:val="annotation text"/>
    <w:basedOn w:val="Standard"/>
    <w:link w:val="KommentartextZchn"/>
    <w:uiPriority w:val="99"/>
    <w:semiHidden/>
    <w:unhideWhenUsed/>
    <w:rsid w:val="00D5532B"/>
    <w:pPr>
      <w:spacing w:line="240" w:lineRule="auto"/>
    </w:pPr>
    <w:rPr>
      <w:sz w:val="20"/>
    </w:rPr>
  </w:style>
  <w:style w:type="character" w:customStyle="1" w:styleId="KommentartextZchn">
    <w:name w:val="Kommentartext Zchn"/>
    <w:basedOn w:val="Absatz-Standardschriftart"/>
    <w:link w:val="Kommentartext"/>
    <w:uiPriority w:val="99"/>
    <w:semiHidden/>
    <w:locked/>
    <w:rsid w:val="00D5532B"/>
    <w:rPr>
      <w:rFonts w:cs="Calibri"/>
      <w:kern w:val="22"/>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D5532B"/>
    <w:rPr>
      <w:b/>
      <w:bCs/>
    </w:rPr>
  </w:style>
  <w:style w:type="character" w:customStyle="1" w:styleId="KommentarthemaZchn">
    <w:name w:val="Kommentarthema Zchn"/>
    <w:basedOn w:val="KommentartextZchn"/>
    <w:link w:val="Kommentarthema"/>
    <w:uiPriority w:val="99"/>
    <w:semiHidden/>
    <w:locked/>
    <w:rsid w:val="00D5532B"/>
    <w:rPr>
      <w:rFonts w:cs="Calibri"/>
      <w:b/>
      <w:bCs/>
      <w:kern w:val="22"/>
      <w:sz w:val="20"/>
      <w:szCs w:val="20"/>
      <w:lang w:val="x-none" w:eastAsia="de-DE"/>
    </w:rPr>
  </w:style>
  <w:style w:type="paragraph" w:styleId="StandardWeb">
    <w:name w:val="Normal (Web)"/>
    <w:basedOn w:val="Standard"/>
    <w:uiPriority w:val="99"/>
    <w:unhideWhenUsed/>
    <w:rsid w:val="00FA370A"/>
    <w:pPr>
      <w:spacing w:before="100" w:beforeAutospacing="1" w:after="240" w:line="240" w:lineRule="auto"/>
      <w:textboxTightWrap w:val="none"/>
    </w:pPr>
    <w:rPr>
      <w:rFonts w:ascii="Times New Roman" w:hAnsi="Times New Roman" w:cs="Times New Roman"/>
      <w:kern w:val="0"/>
      <w:sz w:val="24"/>
      <w:szCs w:val="24"/>
    </w:rPr>
  </w:style>
  <w:style w:type="character" w:styleId="Fett">
    <w:name w:val="Strong"/>
    <w:basedOn w:val="Absatz-Standardschriftart"/>
    <w:uiPriority w:val="22"/>
    <w:qFormat/>
    <w:rsid w:val="0001089A"/>
    <w:rPr>
      <w:rFonts w:cs="Times New Roman"/>
      <w:b/>
      <w:bCs/>
    </w:rPr>
  </w:style>
  <w:style w:type="paragraph" w:styleId="Listenabsatz">
    <w:name w:val="List Paragraph"/>
    <w:basedOn w:val="Standard"/>
    <w:uiPriority w:val="34"/>
    <w:qFormat/>
    <w:rsid w:val="00AA7F67"/>
    <w:pPr>
      <w:ind w:left="720"/>
      <w:contextualSpacing/>
    </w:pPr>
  </w:style>
  <w:style w:type="paragraph" w:styleId="KeinLeerraum">
    <w:name w:val="No Spacing"/>
    <w:uiPriority w:val="1"/>
    <w:qFormat/>
    <w:rsid w:val="00162FFB"/>
    <w:pPr>
      <w:spacing w:after="0" w:line="240" w:lineRule="auto"/>
    </w:pPr>
    <w:rPr>
      <w:rFonts w:ascii="Arial" w:hAnsi="Arial" w:cs="Times New Roman"/>
    </w:rPr>
  </w:style>
  <w:style w:type="paragraph" w:styleId="Funotentext">
    <w:name w:val="footnote text"/>
    <w:basedOn w:val="Standard"/>
    <w:link w:val="FunotentextZchn"/>
    <w:uiPriority w:val="99"/>
    <w:semiHidden/>
    <w:unhideWhenUsed/>
    <w:rsid w:val="008E5EC7"/>
    <w:pPr>
      <w:spacing w:after="0" w:line="240" w:lineRule="auto"/>
    </w:pPr>
    <w:rPr>
      <w:sz w:val="20"/>
    </w:rPr>
  </w:style>
  <w:style w:type="character" w:customStyle="1" w:styleId="FunotentextZchn">
    <w:name w:val="Fußnotentext Zchn"/>
    <w:basedOn w:val="Absatz-Standardschriftart"/>
    <w:link w:val="Funotentext"/>
    <w:uiPriority w:val="99"/>
    <w:semiHidden/>
    <w:locked/>
    <w:rsid w:val="008E5EC7"/>
    <w:rPr>
      <w:rFonts w:cs="Calibri"/>
      <w:kern w:val="22"/>
      <w:sz w:val="20"/>
      <w:szCs w:val="20"/>
      <w:lang w:val="x-none" w:eastAsia="de-DE"/>
    </w:rPr>
  </w:style>
  <w:style w:type="character" w:styleId="Funotenzeichen">
    <w:name w:val="footnote reference"/>
    <w:basedOn w:val="Absatz-Standardschriftart"/>
    <w:uiPriority w:val="99"/>
    <w:semiHidden/>
    <w:unhideWhenUsed/>
    <w:rsid w:val="008E5EC7"/>
    <w:rPr>
      <w:rFonts w:cs="Times New Roman"/>
      <w:vertAlign w:val="superscript"/>
    </w:rPr>
  </w:style>
  <w:style w:type="character" w:styleId="BesuchterLink">
    <w:name w:val="FollowedHyperlink"/>
    <w:basedOn w:val="Absatz-Standardschriftart"/>
    <w:uiPriority w:val="99"/>
    <w:semiHidden/>
    <w:unhideWhenUsed/>
    <w:rsid w:val="006E4BD3"/>
    <w:rPr>
      <w:rFonts w:cs="Times New Roman"/>
      <w:color w:val="800080" w:themeColor="followedHyperlink"/>
      <w:u w:val="single"/>
    </w:rPr>
  </w:style>
  <w:style w:type="paragraph" w:customStyle="1" w:styleId="idvdokumenttitel">
    <w:name w:val="idvdokumenttitel"/>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leitsatz">
    <w:name w:val="idvdokumentleitsatz"/>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urteilszeile">
    <w:name w:val="idvdokumenturteilszeile"/>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paragraphenzeile">
    <w:name w:val="idvdokumentparagraphenzeile"/>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h2">
    <w:name w:val="idvdokumenth2"/>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absatz">
    <w:name w:val="idvdokumentabsatz"/>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paragraph" w:customStyle="1" w:styleId="idvdokumentautorenzeile">
    <w:name w:val="idvdokumentautorenzeile"/>
    <w:basedOn w:val="Standard"/>
    <w:rsid w:val="0069613C"/>
    <w:pPr>
      <w:spacing w:before="100" w:beforeAutospacing="1" w:after="100" w:afterAutospacing="1" w:line="240" w:lineRule="auto"/>
      <w:textboxTightWrap w:val="none"/>
    </w:pPr>
    <w:rPr>
      <w:rFonts w:ascii="Times New Roman" w:hAnsi="Times New Roman" w:cs="Times New Roman"/>
      <w:kern w:val="0"/>
      <w:sz w:val="24"/>
      <w:szCs w:val="24"/>
    </w:rPr>
  </w:style>
  <w:style w:type="character" w:customStyle="1" w:styleId="iconizetxt">
    <w:name w:val="iconize_txt"/>
    <w:basedOn w:val="Absatz-Standardschriftart"/>
    <w:rsid w:val="007664AF"/>
  </w:style>
  <w:style w:type="character" w:customStyle="1" w:styleId="idvdokumenthighlight">
    <w:name w:val="idvdokumenthighlight"/>
    <w:basedOn w:val="Absatz-Standardschriftart"/>
    <w:rsid w:val="0093599E"/>
  </w:style>
  <w:style w:type="paragraph" w:customStyle="1" w:styleId="noprint">
    <w:name w:val="noprint"/>
    <w:basedOn w:val="Standard"/>
    <w:rsid w:val="00B1289F"/>
    <w:pPr>
      <w:spacing w:before="100" w:beforeAutospacing="1" w:after="100" w:afterAutospacing="1" w:line="240" w:lineRule="auto"/>
      <w:textboxTightWrap w:val="none"/>
    </w:pPr>
    <w:rPr>
      <w:rFonts w:ascii="Times New Roman" w:hAnsi="Times New Roman" w:cs="Times New Roman"/>
      <w:kern w:val="0"/>
      <w:sz w:val="24"/>
      <w:szCs w:val="24"/>
    </w:rPr>
  </w:style>
  <w:style w:type="paragraph" w:styleId="z-Formularbeginn">
    <w:name w:val="HTML Top of Form"/>
    <w:basedOn w:val="Standard"/>
    <w:next w:val="Standard"/>
    <w:link w:val="z-FormularbeginnZchn"/>
    <w:hidden/>
    <w:uiPriority w:val="99"/>
    <w:semiHidden/>
    <w:unhideWhenUsed/>
    <w:rsid w:val="00B1289F"/>
    <w:pPr>
      <w:pBdr>
        <w:bottom w:val="single" w:sz="6" w:space="1" w:color="auto"/>
      </w:pBdr>
      <w:spacing w:after="0" w:line="240" w:lineRule="auto"/>
      <w:jc w:val="center"/>
      <w:textboxTightWrap w:val="none"/>
    </w:pPr>
    <w:rPr>
      <w:rFonts w:ascii="Arial" w:hAnsi="Arial" w:cs="Arial"/>
      <w:vanish/>
      <w:kern w:val="0"/>
      <w:sz w:val="16"/>
      <w:szCs w:val="16"/>
    </w:rPr>
  </w:style>
  <w:style w:type="character" w:customStyle="1" w:styleId="z-FormularbeginnZchn">
    <w:name w:val="z-Formularbeginn Zchn"/>
    <w:basedOn w:val="Absatz-Standardschriftart"/>
    <w:link w:val="z-Formularbeginn"/>
    <w:uiPriority w:val="99"/>
    <w:semiHidden/>
    <w:rsid w:val="00B1289F"/>
    <w:rPr>
      <w:rFonts w:ascii="Arial"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B1289F"/>
    <w:pPr>
      <w:pBdr>
        <w:top w:val="single" w:sz="6" w:space="1" w:color="auto"/>
      </w:pBdr>
      <w:spacing w:after="0" w:line="240" w:lineRule="auto"/>
      <w:jc w:val="center"/>
      <w:textboxTightWrap w:val="none"/>
    </w:pPr>
    <w:rPr>
      <w:rFonts w:ascii="Arial" w:hAnsi="Arial" w:cs="Arial"/>
      <w:vanish/>
      <w:kern w:val="0"/>
      <w:sz w:val="16"/>
      <w:szCs w:val="16"/>
    </w:rPr>
  </w:style>
  <w:style w:type="character" w:customStyle="1" w:styleId="z-FormularendeZchn">
    <w:name w:val="z-Formularende Zchn"/>
    <w:basedOn w:val="Absatz-Standardschriftart"/>
    <w:link w:val="z-Formularende"/>
    <w:uiPriority w:val="99"/>
    <w:semiHidden/>
    <w:rsid w:val="00B1289F"/>
    <w:rPr>
      <w:rFonts w:ascii="Arial"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3073">
      <w:bodyDiv w:val="1"/>
      <w:marLeft w:val="0"/>
      <w:marRight w:val="0"/>
      <w:marTop w:val="0"/>
      <w:marBottom w:val="0"/>
      <w:divBdr>
        <w:top w:val="none" w:sz="0" w:space="0" w:color="auto"/>
        <w:left w:val="none" w:sz="0" w:space="0" w:color="auto"/>
        <w:bottom w:val="none" w:sz="0" w:space="0" w:color="auto"/>
        <w:right w:val="none" w:sz="0" w:space="0" w:color="auto"/>
      </w:divBdr>
    </w:div>
    <w:div w:id="50203288">
      <w:bodyDiv w:val="1"/>
      <w:marLeft w:val="0"/>
      <w:marRight w:val="0"/>
      <w:marTop w:val="0"/>
      <w:marBottom w:val="0"/>
      <w:divBdr>
        <w:top w:val="none" w:sz="0" w:space="0" w:color="auto"/>
        <w:left w:val="none" w:sz="0" w:space="0" w:color="auto"/>
        <w:bottom w:val="none" w:sz="0" w:space="0" w:color="auto"/>
        <w:right w:val="none" w:sz="0" w:space="0" w:color="auto"/>
      </w:divBdr>
    </w:div>
    <w:div w:id="414858051">
      <w:bodyDiv w:val="1"/>
      <w:marLeft w:val="0"/>
      <w:marRight w:val="0"/>
      <w:marTop w:val="0"/>
      <w:marBottom w:val="0"/>
      <w:divBdr>
        <w:top w:val="none" w:sz="0" w:space="0" w:color="auto"/>
        <w:left w:val="none" w:sz="0" w:space="0" w:color="auto"/>
        <w:bottom w:val="none" w:sz="0" w:space="0" w:color="auto"/>
        <w:right w:val="none" w:sz="0" w:space="0" w:color="auto"/>
      </w:divBdr>
    </w:div>
    <w:div w:id="812219017">
      <w:bodyDiv w:val="1"/>
      <w:marLeft w:val="0"/>
      <w:marRight w:val="0"/>
      <w:marTop w:val="0"/>
      <w:marBottom w:val="0"/>
      <w:divBdr>
        <w:top w:val="none" w:sz="0" w:space="0" w:color="auto"/>
        <w:left w:val="none" w:sz="0" w:space="0" w:color="auto"/>
        <w:bottom w:val="none" w:sz="0" w:space="0" w:color="auto"/>
        <w:right w:val="none" w:sz="0" w:space="0" w:color="auto"/>
      </w:divBdr>
    </w:div>
    <w:div w:id="920136818">
      <w:marLeft w:val="0"/>
      <w:marRight w:val="0"/>
      <w:marTop w:val="0"/>
      <w:marBottom w:val="0"/>
      <w:divBdr>
        <w:top w:val="none" w:sz="0" w:space="0" w:color="auto"/>
        <w:left w:val="none" w:sz="0" w:space="0" w:color="auto"/>
        <w:bottom w:val="none" w:sz="0" w:space="0" w:color="auto"/>
        <w:right w:val="none" w:sz="0" w:space="0" w:color="auto"/>
      </w:divBdr>
    </w:div>
    <w:div w:id="920136819">
      <w:marLeft w:val="0"/>
      <w:marRight w:val="0"/>
      <w:marTop w:val="0"/>
      <w:marBottom w:val="0"/>
      <w:divBdr>
        <w:top w:val="none" w:sz="0" w:space="0" w:color="auto"/>
        <w:left w:val="none" w:sz="0" w:space="0" w:color="auto"/>
        <w:bottom w:val="none" w:sz="0" w:space="0" w:color="auto"/>
        <w:right w:val="none" w:sz="0" w:space="0" w:color="auto"/>
      </w:divBdr>
    </w:div>
    <w:div w:id="920136820">
      <w:marLeft w:val="0"/>
      <w:marRight w:val="0"/>
      <w:marTop w:val="0"/>
      <w:marBottom w:val="0"/>
      <w:divBdr>
        <w:top w:val="none" w:sz="0" w:space="0" w:color="auto"/>
        <w:left w:val="none" w:sz="0" w:space="0" w:color="auto"/>
        <w:bottom w:val="none" w:sz="0" w:space="0" w:color="auto"/>
        <w:right w:val="none" w:sz="0" w:space="0" w:color="auto"/>
      </w:divBdr>
    </w:div>
    <w:div w:id="920136821">
      <w:marLeft w:val="0"/>
      <w:marRight w:val="0"/>
      <w:marTop w:val="0"/>
      <w:marBottom w:val="0"/>
      <w:divBdr>
        <w:top w:val="none" w:sz="0" w:space="0" w:color="auto"/>
        <w:left w:val="none" w:sz="0" w:space="0" w:color="auto"/>
        <w:bottom w:val="none" w:sz="0" w:space="0" w:color="auto"/>
        <w:right w:val="none" w:sz="0" w:space="0" w:color="auto"/>
      </w:divBdr>
    </w:div>
    <w:div w:id="920136822">
      <w:marLeft w:val="0"/>
      <w:marRight w:val="0"/>
      <w:marTop w:val="0"/>
      <w:marBottom w:val="0"/>
      <w:divBdr>
        <w:top w:val="none" w:sz="0" w:space="0" w:color="auto"/>
        <w:left w:val="none" w:sz="0" w:space="0" w:color="auto"/>
        <w:bottom w:val="none" w:sz="0" w:space="0" w:color="auto"/>
        <w:right w:val="none" w:sz="0" w:space="0" w:color="auto"/>
      </w:divBdr>
    </w:div>
    <w:div w:id="920136823">
      <w:marLeft w:val="0"/>
      <w:marRight w:val="0"/>
      <w:marTop w:val="0"/>
      <w:marBottom w:val="0"/>
      <w:divBdr>
        <w:top w:val="none" w:sz="0" w:space="0" w:color="auto"/>
        <w:left w:val="none" w:sz="0" w:space="0" w:color="auto"/>
        <w:bottom w:val="none" w:sz="0" w:space="0" w:color="auto"/>
        <w:right w:val="none" w:sz="0" w:space="0" w:color="auto"/>
      </w:divBdr>
    </w:div>
    <w:div w:id="920136825">
      <w:marLeft w:val="0"/>
      <w:marRight w:val="0"/>
      <w:marTop w:val="0"/>
      <w:marBottom w:val="0"/>
      <w:divBdr>
        <w:top w:val="none" w:sz="0" w:space="0" w:color="auto"/>
        <w:left w:val="none" w:sz="0" w:space="0" w:color="auto"/>
        <w:bottom w:val="none" w:sz="0" w:space="0" w:color="auto"/>
        <w:right w:val="none" w:sz="0" w:space="0" w:color="auto"/>
      </w:divBdr>
    </w:div>
    <w:div w:id="920136826">
      <w:marLeft w:val="0"/>
      <w:marRight w:val="0"/>
      <w:marTop w:val="0"/>
      <w:marBottom w:val="0"/>
      <w:divBdr>
        <w:top w:val="none" w:sz="0" w:space="0" w:color="auto"/>
        <w:left w:val="none" w:sz="0" w:space="0" w:color="auto"/>
        <w:bottom w:val="none" w:sz="0" w:space="0" w:color="auto"/>
        <w:right w:val="none" w:sz="0" w:space="0" w:color="auto"/>
      </w:divBdr>
    </w:div>
    <w:div w:id="920136827">
      <w:marLeft w:val="0"/>
      <w:marRight w:val="0"/>
      <w:marTop w:val="0"/>
      <w:marBottom w:val="0"/>
      <w:divBdr>
        <w:top w:val="none" w:sz="0" w:space="0" w:color="auto"/>
        <w:left w:val="none" w:sz="0" w:space="0" w:color="auto"/>
        <w:bottom w:val="none" w:sz="0" w:space="0" w:color="auto"/>
        <w:right w:val="none" w:sz="0" w:space="0" w:color="auto"/>
      </w:divBdr>
    </w:div>
    <w:div w:id="920136828">
      <w:marLeft w:val="0"/>
      <w:marRight w:val="0"/>
      <w:marTop w:val="0"/>
      <w:marBottom w:val="0"/>
      <w:divBdr>
        <w:top w:val="none" w:sz="0" w:space="0" w:color="auto"/>
        <w:left w:val="none" w:sz="0" w:space="0" w:color="auto"/>
        <w:bottom w:val="none" w:sz="0" w:space="0" w:color="auto"/>
        <w:right w:val="none" w:sz="0" w:space="0" w:color="auto"/>
      </w:divBdr>
    </w:div>
    <w:div w:id="920136829">
      <w:marLeft w:val="0"/>
      <w:marRight w:val="0"/>
      <w:marTop w:val="0"/>
      <w:marBottom w:val="0"/>
      <w:divBdr>
        <w:top w:val="none" w:sz="0" w:space="0" w:color="auto"/>
        <w:left w:val="none" w:sz="0" w:space="0" w:color="auto"/>
        <w:bottom w:val="none" w:sz="0" w:space="0" w:color="auto"/>
        <w:right w:val="none" w:sz="0" w:space="0" w:color="auto"/>
      </w:divBdr>
    </w:div>
    <w:div w:id="920136830">
      <w:marLeft w:val="0"/>
      <w:marRight w:val="0"/>
      <w:marTop w:val="0"/>
      <w:marBottom w:val="0"/>
      <w:divBdr>
        <w:top w:val="none" w:sz="0" w:space="0" w:color="auto"/>
        <w:left w:val="none" w:sz="0" w:space="0" w:color="auto"/>
        <w:bottom w:val="none" w:sz="0" w:space="0" w:color="auto"/>
        <w:right w:val="none" w:sz="0" w:space="0" w:color="auto"/>
      </w:divBdr>
    </w:div>
    <w:div w:id="920136832">
      <w:marLeft w:val="0"/>
      <w:marRight w:val="0"/>
      <w:marTop w:val="0"/>
      <w:marBottom w:val="0"/>
      <w:divBdr>
        <w:top w:val="none" w:sz="0" w:space="0" w:color="auto"/>
        <w:left w:val="none" w:sz="0" w:space="0" w:color="auto"/>
        <w:bottom w:val="none" w:sz="0" w:space="0" w:color="auto"/>
        <w:right w:val="none" w:sz="0" w:space="0" w:color="auto"/>
      </w:divBdr>
    </w:div>
    <w:div w:id="920136833">
      <w:marLeft w:val="0"/>
      <w:marRight w:val="0"/>
      <w:marTop w:val="0"/>
      <w:marBottom w:val="0"/>
      <w:divBdr>
        <w:top w:val="none" w:sz="0" w:space="0" w:color="auto"/>
        <w:left w:val="none" w:sz="0" w:space="0" w:color="auto"/>
        <w:bottom w:val="none" w:sz="0" w:space="0" w:color="auto"/>
        <w:right w:val="none" w:sz="0" w:space="0" w:color="auto"/>
      </w:divBdr>
    </w:div>
    <w:div w:id="920136834">
      <w:marLeft w:val="0"/>
      <w:marRight w:val="0"/>
      <w:marTop w:val="0"/>
      <w:marBottom w:val="0"/>
      <w:divBdr>
        <w:top w:val="none" w:sz="0" w:space="0" w:color="auto"/>
        <w:left w:val="none" w:sz="0" w:space="0" w:color="auto"/>
        <w:bottom w:val="none" w:sz="0" w:space="0" w:color="auto"/>
        <w:right w:val="none" w:sz="0" w:space="0" w:color="auto"/>
      </w:divBdr>
      <w:divsChild>
        <w:div w:id="920136824">
          <w:marLeft w:val="0"/>
          <w:marRight w:val="0"/>
          <w:marTop w:val="0"/>
          <w:marBottom w:val="0"/>
          <w:divBdr>
            <w:top w:val="none" w:sz="0" w:space="0" w:color="auto"/>
            <w:left w:val="none" w:sz="0" w:space="0" w:color="auto"/>
            <w:bottom w:val="none" w:sz="0" w:space="0" w:color="auto"/>
            <w:right w:val="none" w:sz="0" w:space="0" w:color="auto"/>
          </w:divBdr>
          <w:divsChild>
            <w:div w:id="920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2992">
      <w:bodyDiv w:val="1"/>
      <w:marLeft w:val="0"/>
      <w:marRight w:val="0"/>
      <w:marTop w:val="0"/>
      <w:marBottom w:val="0"/>
      <w:divBdr>
        <w:top w:val="none" w:sz="0" w:space="0" w:color="auto"/>
        <w:left w:val="none" w:sz="0" w:space="0" w:color="auto"/>
        <w:bottom w:val="none" w:sz="0" w:space="0" w:color="auto"/>
        <w:right w:val="none" w:sz="0" w:space="0" w:color="auto"/>
      </w:divBdr>
    </w:div>
    <w:div w:id="1206482971">
      <w:bodyDiv w:val="1"/>
      <w:marLeft w:val="0"/>
      <w:marRight w:val="0"/>
      <w:marTop w:val="0"/>
      <w:marBottom w:val="0"/>
      <w:divBdr>
        <w:top w:val="none" w:sz="0" w:space="0" w:color="auto"/>
        <w:left w:val="none" w:sz="0" w:space="0" w:color="auto"/>
        <w:bottom w:val="none" w:sz="0" w:space="0" w:color="auto"/>
        <w:right w:val="none" w:sz="0" w:space="0" w:color="auto"/>
      </w:divBdr>
    </w:div>
    <w:div w:id="1323852387">
      <w:bodyDiv w:val="1"/>
      <w:marLeft w:val="0"/>
      <w:marRight w:val="0"/>
      <w:marTop w:val="0"/>
      <w:marBottom w:val="0"/>
      <w:divBdr>
        <w:top w:val="none" w:sz="0" w:space="0" w:color="auto"/>
        <w:left w:val="none" w:sz="0" w:space="0" w:color="auto"/>
        <w:bottom w:val="none" w:sz="0" w:space="0" w:color="auto"/>
        <w:right w:val="none" w:sz="0" w:space="0" w:color="auto"/>
      </w:divBdr>
      <w:divsChild>
        <w:div w:id="117842607">
          <w:marLeft w:val="0"/>
          <w:marRight w:val="0"/>
          <w:marTop w:val="0"/>
          <w:marBottom w:val="0"/>
          <w:divBdr>
            <w:top w:val="none" w:sz="0" w:space="0" w:color="auto"/>
            <w:left w:val="none" w:sz="0" w:space="0" w:color="auto"/>
            <w:bottom w:val="none" w:sz="0" w:space="0" w:color="auto"/>
            <w:right w:val="none" w:sz="0" w:space="0" w:color="auto"/>
          </w:divBdr>
          <w:divsChild>
            <w:div w:id="2057116931">
              <w:marLeft w:val="0"/>
              <w:marRight w:val="0"/>
              <w:marTop w:val="0"/>
              <w:marBottom w:val="0"/>
              <w:divBdr>
                <w:top w:val="single" w:sz="6" w:space="1" w:color="336AA1"/>
                <w:left w:val="single" w:sz="6" w:space="1" w:color="336AA1"/>
                <w:bottom w:val="single" w:sz="6" w:space="1" w:color="336AA1"/>
                <w:right w:val="single" w:sz="6" w:space="1" w:color="336AA1"/>
              </w:divBdr>
              <w:divsChild>
                <w:div w:id="1792243520">
                  <w:marLeft w:val="0"/>
                  <w:marRight w:val="0"/>
                  <w:marTop w:val="0"/>
                  <w:marBottom w:val="0"/>
                  <w:divBdr>
                    <w:top w:val="single" w:sz="6" w:space="2" w:color="C1D2E3"/>
                    <w:left w:val="single" w:sz="6" w:space="2" w:color="C1D2E3"/>
                    <w:bottom w:val="single" w:sz="6" w:space="2" w:color="C1D2E3"/>
                    <w:right w:val="single" w:sz="6" w:space="2" w:color="C1D2E3"/>
                  </w:divBdr>
                </w:div>
              </w:divsChild>
            </w:div>
          </w:divsChild>
        </w:div>
        <w:div w:id="820391259">
          <w:marLeft w:val="0"/>
          <w:marRight w:val="0"/>
          <w:marTop w:val="60"/>
          <w:marBottom w:val="150"/>
          <w:divBdr>
            <w:top w:val="none" w:sz="0" w:space="0" w:color="auto"/>
            <w:left w:val="none" w:sz="0" w:space="0" w:color="auto"/>
            <w:bottom w:val="none" w:sz="0" w:space="0" w:color="auto"/>
            <w:right w:val="none" w:sz="0" w:space="0" w:color="auto"/>
          </w:divBdr>
        </w:div>
        <w:div w:id="329915499">
          <w:marLeft w:val="0"/>
          <w:marRight w:val="0"/>
          <w:marTop w:val="0"/>
          <w:marBottom w:val="105"/>
          <w:divBdr>
            <w:top w:val="none" w:sz="0" w:space="0" w:color="auto"/>
            <w:left w:val="none" w:sz="0" w:space="0" w:color="auto"/>
            <w:bottom w:val="none" w:sz="0" w:space="0" w:color="auto"/>
            <w:right w:val="none" w:sz="0" w:space="0" w:color="auto"/>
          </w:divBdr>
        </w:div>
      </w:divsChild>
    </w:div>
    <w:div w:id="1401057929">
      <w:bodyDiv w:val="1"/>
      <w:marLeft w:val="0"/>
      <w:marRight w:val="0"/>
      <w:marTop w:val="0"/>
      <w:marBottom w:val="0"/>
      <w:divBdr>
        <w:top w:val="none" w:sz="0" w:space="0" w:color="auto"/>
        <w:left w:val="none" w:sz="0" w:space="0" w:color="auto"/>
        <w:bottom w:val="none" w:sz="0" w:space="0" w:color="auto"/>
        <w:right w:val="none" w:sz="0" w:space="0" w:color="auto"/>
      </w:divBdr>
    </w:div>
    <w:div w:id="1432622745">
      <w:bodyDiv w:val="1"/>
      <w:marLeft w:val="0"/>
      <w:marRight w:val="0"/>
      <w:marTop w:val="0"/>
      <w:marBottom w:val="0"/>
      <w:divBdr>
        <w:top w:val="none" w:sz="0" w:space="0" w:color="auto"/>
        <w:left w:val="none" w:sz="0" w:space="0" w:color="auto"/>
        <w:bottom w:val="none" w:sz="0" w:space="0" w:color="auto"/>
        <w:right w:val="none" w:sz="0" w:space="0" w:color="auto"/>
      </w:divBdr>
      <w:divsChild>
        <w:div w:id="1727946958">
          <w:marLeft w:val="0"/>
          <w:marRight w:val="0"/>
          <w:marTop w:val="300"/>
          <w:marBottom w:val="0"/>
          <w:divBdr>
            <w:top w:val="none" w:sz="0" w:space="0" w:color="auto"/>
            <w:left w:val="none" w:sz="0" w:space="0" w:color="auto"/>
            <w:bottom w:val="none" w:sz="0" w:space="0" w:color="auto"/>
            <w:right w:val="none" w:sz="0" w:space="0" w:color="auto"/>
          </w:divBdr>
        </w:div>
        <w:div w:id="1652830311">
          <w:marLeft w:val="0"/>
          <w:marRight w:val="0"/>
          <w:marTop w:val="0"/>
          <w:marBottom w:val="300"/>
          <w:divBdr>
            <w:top w:val="none" w:sz="0" w:space="0" w:color="auto"/>
            <w:left w:val="none" w:sz="0" w:space="0" w:color="auto"/>
            <w:bottom w:val="none" w:sz="0" w:space="0" w:color="auto"/>
            <w:right w:val="none" w:sz="0" w:space="0" w:color="auto"/>
          </w:divBdr>
        </w:div>
        <w:div w:id="462970547">
          <w:marLeft w:val="0"/>
          <w:marRight w:val="0"/>
          <w:marTop w:val="0"/>
          <w:marBottom w:val="300"/>
          <w:divBdr>
            <w:top w:val="single" w:sz="6" w:space="0" w:color="C1D2E3"/>
            <w:left w:val="single" w:sz="6" w:space="0" w:color="C1D2E3"/>
            <w:bottom w:val="single" w:sz="6" w:space="0" w:color="C1D2E3"/>
            <w:right w:val="single" w:sz="6" w:space="0" w:color="C1D2E3"/>
          </w:divBdr>
          <w:divsChild>
            <w:div w:id="2023585161">
              <w:marLeft w:val="0"/>
              <w:marRight w:val="0"/>
              <w:marTop w:val="0"/>
              <w:marBottom w:val="0"/>
              <w:divBdr>
                <w:top w:val="none" w:sz="0" w:space="0" w:color="auto"/>
                <w:left w:val="none" w:sz="0" w:space="0" w:color="auto"/>
                <w:bottom w:val="none" w:sz="0" w:space="0" w:color="auto"/>
                <w:right w:val="none" w:sz="0" w:space="0" w:color="auto"/>
              </w:divBdr>
            </w:div>
            <w:div w:id="180634619">
              <w:marLeft w:val="0"/>
              <w:marRight w:val="0"/>
              <w:marTop w:val="0"/>
              <w:marBottom w:val="105"/>
              <w:divBdr>
                <w:top w:val="none" w:sz="0" w:space="0" w:color="auto"/>
                <w:left w:val="none" w:sz="0" w:space="0" w:color="auto"/>
                <w:bottom w:val="none" w:sz="0" w:space="0" w:color="auto"/>
                <w:right w:val="none" w:sz="0" w:space="0" w:color="auto"/>
              </w:divBdr>
            </w:div>
          </w:divsChild>
        </w:div>
        <w:div w:id="503784474">
          <w:marLeft w:val="0"/>
          <w:marRight w:val="0"/>
          <w:marTop w:val="0"/>
          <w:marBottom w:val="0"/>
          <w:divBdr>
            <w:top w:val="none" w:sz="0" w:space="0" w:color="auto"/>
            <w:left w:val="none" w:sz="0" w:space="0" w:color="auto"/>
            <w:bottom w:val="none" w:sz="0" w:space="0" w:color="auto"/>
            <w:right w:val="none" w:sz="0" w:space="0" w:color="auto"/>
          </w:divBdr>
          <w:divsChild>
            <w:div w:id="853224699">
              <w:marLeft w:val="0"/>
              <w:marRight w:val="0"/>
              <w:marTop w:val="0"/>
              <w:marBottom w:val="300"/>
              <w:divBdr>
                <w:top w:val="single" w:sz="6" w:space="0" w:color="C1D2E3"/>
                <w:left w:val="single" w:sz="6" w:space="0" w:color="C1D2E3"/>
                <w:bottom w:val="single" w:sz="6" w:space="0" w:color="C1D2E3"/>
                <w:right w:val="single" w:sz="6" w:space="0" w:color="C1D2E3"/>
              </w:divBdr>
              <w:divsChild>
                <w:div w:id="751774859">
                  <w:marLeft w:val="0"/>
                  <w:marRight w:val="0"/>
                  <w:marTop w:val="0"/>
                  <w:marBottom w:val="0"/>
                  <w:divBdr>
                    <w:top w:val="none" w:sz="0" w:space="0" w:color="auto"/>
                    <w:left w:val="none" w:sz="0" w:space="0" w:color="auto"/>
                    <w:bottom w:val="none" w:sz="0" w:space="0" w:color="auto"/>
                    <w:right w:val="none" w:sz="0" w:space="0" w:color="auto"/>
                  </w:divBdr>
                </w:div>
                <w:div w:id="203761121">
                  <w:marLeft w:val="0"/>
                  <w:marRight w:val="0"/>
                  <w:marTop w:val="0"/>
                  <w:marBottom w:val="105"/>
                  <w:divBdr>
                    <w:top w:val="none" w:sz="0" w:space="0" w:color="auto"/>
                    <w:left w:val="none" w:sz="0" w:space="0" w:color="auto"/>
                    <w:bottom w:val="none" w:sz="0" w:space="0" w:color="auto"/>
                    <w:right w:val="none" w:sz="0" w:space="0" w:color="auto"/>
                  </w:divBdr>
                  <w:divsChild>
                    <w:div w:id="1468668255">
                      <w:marLeft w:val="0"/>
                      <w:marRight w:val="0"/>
                      <w:marTop w:val="0"/>
                      <w:marBottom w:val="0"/>
                      <w:divBdr>
                        <w:top w:val="none" w:sz="0" w:space="0" w:color="auto"/>
                        <w:left w:val="none" w:sz="0" w:space="0" w:color="auto"/>
                        <w:bottom w:val="none" w:sz="0" w:space="0" w:color="auto"/>
                        <w:right w:val="none" w:sz="0" w:space="0" w:color="auto"/>
                      </w:divBdr>
                    </w:div>
                    <w:div w:id="14306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9028">
          <w:marLeft w:val="0"/>
          <w:marRight w:val="0"/>
          <w:marTop w:val="0"/>
          <w:marBottom w:val="0"/>
          <w:divBdr>
            <w:top w:val="single" w:sz="6" w:space="0" w:color="CFCFCF"/>
            <w:left w:val="single" w:sz="6" w:space="0" w:color="CFCFCF"/>
            <w:bottom w:val="single" w:sz="6" w:space="0" w:color="ACACAC"/>
            <w:right w:val="single" w:sz="6" w:space="0" w:color="ACACAC"/>
          </w:divBdr>
          <w:divsChild>
            <w:div w:id="1126578789">
              <w:marLeft w:val="0"/>
              <w:marRight w:val="0"/>
              <w:marTop w:val="0"/>
              <w:marBottom w:val="0"/>
              <w:divBdr>
                <w:top w:val="none" w:sz="0" w:space="0" w:color="auto"/>
                <w:left w:val="none" w:sz="0" w:space="0" w:color="auto"/>
                <w:bottom w:val="none" w:sz="0" w:space="0" w:color="auto"/>
                <w:right w:val="none" w:sz="0" w:space="0" w:color="auto"/>
              </w:divBdr>
              <w:divsChild>
                <w:div w:id="510293512">
                  <w:marLeft w:val="0"/>
                  <w:marRight w:val="0"/>
                  <w:marTop w:val="0"/>
                  <w:marBottom w:val="0"/>
                  <w:divBdr>
                    <w:top w:val="none" w:sz="0" w:space="0" w:color="auto"/>
                    <w:left w:val="none" w:sz="0" w:space="0" w:color="auto"/>
                    <w:bottom w:val="none" w:sz="0" w:space="0" w:color="auto"/>
                    <w:right w:val="none" w:sz="0" w:space="0" w:color="auto"/>
                  </w:divBdr>
                </w:div>
              </w:divsChild>
            </w:div>
            <w:div w:id="149202017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17102345">
      <w:bodyDiv w:val="1"/>
      <w:marLeft w:val="0"/>
      <w:marRight w:val="0"/>
      <w:marTop w:val="0"/>
      <w:marBottom w:val="0"/>
      <w:divBdr>
        <w:top w:val="none" w:sz="0" w:space="0" w:color="auto"/>
        <w:left w:val="none" w:sz="0" w:space="0" w:color="auto"/>
        <w:bottom w:val="none" w:sz="0" w:space="0" w:color="auto"/>
        <w:right w:val="none" w:sz="0" w:space="0" w:color="auto"/>
      </w:divBdr>
    </w:div>
    <w:div w:id="1674407450">
      <w:bodyDiv w:val="1"/>
      <w:marLeft w:val="0"/>
      <w:marRight w:val="0"/>
      <w:marTop w:val="0"/>
      <w:marBottom w:val="0"/>
      <w:divBdr>
        <w:top w:val="none" w:sz="0" w:space="0" w:color="auto"/>
        <w:left w:val="none" w:sz="0" w:space="0" w:color="auto"/>
        <w:bottom w:val="none" w:sz="0" w:space="0" w:color="auto"/>
        <w:right w:val="none" w:sz="0" w:space="0" w:color="auto"/>
      </w:divBdr>
      <w:divsChild>
        <w:div w:id="523520013">
          <w:marLeft w:val="0"/>
          <w:marRight w:val="0"/>
          <w:marTop w:val="30"/>
          <w:marBottom w:val="0"/>
          <w:divBdr>
            <w:top w:val="single" w:sz="6" w:space="0" w:color="CFCFCF"/>
            <w:left w:val="single" w:sz="6" w:space="0" w:color="CFCFCF"/>
            <w:bottom w:val="single" w:sz="6" w:space="0" w:color="ACACAC"/>
            <w:right w:val="single" w:sz="6" w:space="0" w:color="ACACAC"/>
          </w:divBdr>
          <w:divsChild>
            <w:div w:id="1738285352">
              <w:marLeft w:val="0"/>
              <w:marRight w:val="0"/>
              <w:marTop w:val="0"/>
              <w:marBottom w:val="105"/>
              <w:divBdr>
                <w:top w:val="none" w:sz="0" w:space="0" w:color="auto"/>
                <w:left w:val="none" w:sz="0" w:space="0" w:color="auto"/>
                <w:bottom w:val="none" w:sz="0" w:space="0" w:color="auto"/>
                <w:right w:val="none" w:sz="0" w:space="0" w:color="auto"/>
              </w:divBdr>
            </w:div>
          </w:divsChild>
        </w:div>
        <w:div w:id="1105880433">
          <w:marLeft w:val="0"/>
          <w:marRight w:val="0"/>
          <w:marTop w:val="300"/>
          <w:marBottom w:val="0"/>
          <w:divBdr>
            <w:top w:val="none" w:sz="0" w:space="0" w:color="auto"/>
            <w:left w:val="none" w:sz="0" w:space="0" w:color="auto"/>
            <w:bottom w:val="none" w:sz="0" w:space="0" w:color="auto"/>
            <w:right w:val="none" w:sz="0" w:space="0" w:color="auto"/>
          </w:divBdr>
        </w:div>
        <w:div w:id="1034960251">
          <w:marLeft w:val="0"/>
          <w:marRight w:val="0"/>
          <w:marTop w:val="0"/>
          <w:marBottom w:val="300"/>
          <w:divBdr>
            <w:top w:val="none" w:sz="0" w:space="0" w:color="auto"/>
            <w:left w:val="none" w:sz="0" w:space="0" w:color="auto"/>
            <w:bottom w:val="none" w:sz="0" w:space="0" w:color="auto"/>
            <w:right w:val="none" w:sz="0" w:space="0" w:color="auto"/>
          </w:divBdr>
        </w:div>
        <w:div w:id="405104601">
          <w:marLeft w:val="0"/>
          <w:marRight w:val="0"/>
          <w:marTop w:val="0"/>
          <w:marBottom w:val="300"/>
          <w:divBdr>
            <w:top w:val="single" w:sz="6" w:space="0" w:color="C1D2E3"/>
            <w:left w:val="single" w:sz="6" w:space="0" w:color="C1D2E3"/>
            <w:bottom w:val="single" w:sz="6" w:space="0" w:color="C1D2E3"/>
            <w:right w:val="single" w:sz="6" w:space="0" w:color="C1D2E3"/>
          </w:divBdr>
          <w:divsChild>
            <w:div w:id="678704223">
              <w:marLeft w:val="0"/>
              <w:marRight w:val="0"/>
              <w:marTop w:val="0"/>
              <w:marBottom w:val="0"/>
              <w:divBdr>
                <w:top w:val="none" w:sz="0" w:space="0" w:color="auto"/>
                <w:left w:val="none" w:sz="0" w:space="0" w:color="auto"/>
                <w:bottom w:val="none" w:sz="0" w:space="0" w:color="auto"/>
                <w:right w:val="none" w:sz="0" w:space="0" w:color="auto"/>
              </w:divBdr>
            </w:div>
            <w:div w:id="598216679">
              <w:marLeft w:val="0"/>
              <w:marRight w:val="0"/>
              <w:marTop w:val="0"/>
              <w:marBottom w:val="105"/>
              <w:divBdr>
                <w:top w:val="none" w:sz="0" w:space="0" w:color="auto"/>
                <w:left w:val="none" w:sz="0" w:space="0" w:color="auto"/>
                <w:bottom w:val="none" w:sz="0" w:space="0" w:color="auto"/>
                <w:right w:val="none" w:sz="0" w:space="0" w:color="auto"/>
              </w:divBdr>
            </w:div>
          </w:divsChild>
        </w:div>
        <w:div w:id="1660188200">
          <w:marLeft w:val="0"/>
          <w:marRight w:val="0"/>
          <w:marTop w:val="0"/>
          <w:marBottom w:val="0"/>
          <w:divBdr>
            <w:top w:val="none" w:sz="0" w:space="0" w:color="auto"/>
            <w:left w:val="none" w:sz="0" w:space="0" w:color="auto"/>
            <w:bottom w:val="none" w:sz="0" w:space="0" w:color="auto"/>
            <w:right w:val="none" w:sz="0" w:space="0" w:color="auto"/>
          </w:divBdr>
          <w:divsChild>
            <w:div w:id="662125037">
              <w:marLeft w:val="0"/>
              <w:marRight w:val="0"/>
              <w:marTop w:val="0"/>
              <w:marBottom w:val="300"/>
              <w:divBdr>
                <w:top w:val="single" w:sz="6" w:space="0" w:color="C1D2E3"/>
                <w:left w:val="single" w:sz="6" w:space="0" w:color="C1D2E3"/>
                <w:bottom w:val="single" w:sz="6" w:space="0" w:color="C1D2E3"/>
                <w:right w:val="single" w:sz="6" w:space="0" w:color="C1D2E3"/>
              </w:divBdr>
              <w:divsChild>
                <w:div w:id="580406294">
                  <w:marLeft w:val="0"/>
                  <w:marRight w:val="0"/>
                  <w:marTop w:val="0"/>
                  <w:marBottom w:val="0"/>
                  <w:divBdr>
                    <w:top w:val="none" w:sz="0" w:space="0" w:color="auto"/>
                    <w:left w:val="none" w:sz="0" w:space="0" w:color="auto"/>
                    <w:bottom w:val="none" w:sz="0" w:space="0" w:color="auto"/>
                    <w:right w:val="none" w:sz="0" w:space="0" w:color="auto"/>
                  </w:divBdr>
                </w:div>
                <w:div w:id="598298334">
                  <w:marLeft w:val="0"/>
                  <w:marRight w:val="0"/>
                  <w:marTop w:val="0"/>
                  <w:marBottom w:val="105"/>
                  <w:divBdr>
                    <w:top w:val="none" w:sz="0" w:space="0" w:color="auto"/>
                    <w:left w:val="none" w:sz="0" w:space="0" w:color="auto"/>
                    <w:bottom w:val="none" w:sz="0" w:space="0" w:color="auto"/>
                    <w:right w:val="none" w:sz="0" w:space="0" w:color="auto"/>
                  </w:divBdr>
                  <w:divsChild>
                    <w:div w:id="2108191062">
                      <w:marLeft w:val="0"/>
                      <w:marRight w:val="0"/>
                      <w:marTop w:val="0"/>
                      <w:marBottom w:val="0"/>
                      <w:divBdr>
                        <w:top w:val="none" w:sz="0" w:space="0" w:color="auto"/>
                        <w:left w:val="none" w:sz="0" w:space="0" w:color="auto"/>
                        <w:bottom w:val="none" w:sz="0" w:space="0" w:color="auto"/>
                        <w:right w:val="none" w:sz="0" w:space="0" w:color="auto"/>
                      </w:divBdr>
                    </w:div>
                    <w:div w:id="4273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19528">
          <w:marLeft w:val="0"/>
          <w:marRight w:val="0"/>
          <w:marTop w:val="0"/>
          <w:marBottom w:val="0"/>
          <w:divBdr>
            <w:top w:val="single" w:sz="6" w:space="0" w:color="CFCFCF"/>
            <w:left w:val="single" w:sz="6" w:space="0" w:color="CFCFCF"/>
            <w:bottom w:val="single" w:sz="6" w:space="0" w:color="ACACAC"/>
            <w:right w:val="single" w:sz="6" w:space="0" w:color="ACACAC"/>
          </w:divBdr>
          <w:divsChild>
            <w:div w:id="1273171165">
              <w:marLeft w:val="0"/>
              <w:marRight w:val="0"/>
              <w:marTop w:val="0"/>
              <w:marBottom w:val="0"/>
              <w:divBdr>
                <w:top w:val="none" w:sz="0" w:space="0" w:color="auto"/>
                <w:left w:val="none" w:sz="0" w:space="0" w:color="auto"/>
                <w:bottom w:val="none" w:sz="0" w:space="0" w:color="auto"/>
                <w:right w:val="none" w:sz="0" w:space="0" w:color="auto"/>
              </w:divBdr>
              <w:divsChild>
                <w:div w:id="42289900">
                  <w:marLeft w:val="0"/>
                  <w:marRight w:val="0"/>
                  <w:marTop w:val="0"/>
                  <w:marBottom w:val="0"/>
                  <w:divBdr>
                    <w:top w:val="none" w:sz="0" w:space="0" w:color="auto"/>
                    <w:left w:val="none" w:sz="0" w:space="0" w:color="auto"/>
                    <w:bottom w:val="none" w:sz="0" w:space="0" w:color="auto"/>
                    <w:right w:val="none" w:sz="0" w:space="0" w:color="auto"/>
                  </w:divBdr>
                </w:div>
              </w:divsChild>
            </w:div>
            <w:div w:id="198326897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90982357">
      <w:bodyDiv w:val="1"/>
      <w:marLeft w:val="0"/>
      <w:marRight w:val="0"/>
      <w:marTop w:val="0"/>
      <w:marBottom w:val="0"/>
      <w:divBdr>
        <w:top w:val="none" w:sz="0" w:space="0" w:color="auto"/>
        <w:left w:val="none" w:sz="0" w:space="0" w:color="auto"/>
        <w:bottom w:val="none" w:sz="0" w:space="0" w:color="auto"/>
        <w:right w:val="none" w:sz="0" w:space="0" w:color="auto"/>
      </w:divBdr>
    </w:div>
    <w:div w:id="199598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r-online.de/IBRNavigator/dokumentanzeige-body.php?SessionID=e6a340f6ebbbdb50615c4e2a01d3d890&amp;zg=0&amp;vDokTyp=Dokument&amp;vDokID=37605&amp;LinkArt=t&amp;HTTP_DocType=Norm&amp;Norm=BGB+%A7+634" TargetMode="External"/><Relationship Id="rId13" Type="http://schemas.openxmlformats.org/officeDocument/2006/relationships/hyperlink" Target="https://www.ibr-online.de/IBRNavigator/dokumentanzeige-body.php?HTTP_DocType=Norm&amp;Norm=BGB+%A7+280&amp;SessionID=e6a340f6ebbbdb50615c4e2a01d3d890&amp;zg=0&amp;vDokTyp=Dokument&amp;vDokID=37605&amp;LinkArt=t" TargetMode="External"/><Relationship Id="rId18" Type="http://schemas.openxmlformats.org/officeDocument/2006/relationships/hyperlink" Target="https://www.ibr-online.de/IBRNavigator/dokumentanzeige-body.php?HTTP_DocType=Norm&amp;Norm=BGB+%A7+638&amp;SessionID=e6a340f6ebbbdb50615c4e2a01d3d890&amp;zg=0&amp;vDokTyp=Dokument&amp;vDokID=37605&amp;LinkArt=t" TargetMode="External"/><Relationship Id="rId26" Type="http://schemas.openxmlformats.org/officeDocument/2006/relationships/hyperlink" Target="https://www.ibr-online.de/IBRNavigator/dokumentanzeige-body.php?SessionID=e6a340f6ebbbdb50615c4e2a01d3d890&amp;zg=0&amp;vDokTyp=Dokument&amp;vDokID=37605&amp;LinkArt=t&amp;HTTP_DocType=Norm&amp;Norm=ZPO+%A7+28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br-online.de/IBRNavigator/dokumentanzeige-body.php?SessionID=e6a340f6ebbbdb50615c4e2a01d3d890&amp;zg=0&amp;vDokTyp=Dokument&amp;vDokID=37605&amp;LinkArt=t&amp;HTTP_DocType=Norm&amp;Norm=BGB+%A7+63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br-online.de/IBRNavigator/dokumentanzeige-body.php?HTTP_DocType=Norm&amp;Norm=BGB+%A7+249&amp;SessionID=e6a340f6ebbbdb50615c4e2a01d3d890&amp;zg=0&amp;vDokTyp=Dokument&amp;vDokID=37605&amp;LinkArt=t" TargetMode="External"/><Relationship Id="rId17" Type="http://schemas.openxmlformats.org/officeDocument/2006/relationships/hyperlink" Target="https://www.ibr-online.de/IBRNavigator/dokumentanzeige-body.php?HTTP_DocType=Norm&amp;Norm=BGB+%A7+637&amp;SessionID=e6a340f6ebbbdb50615c4e2a01d3d890&amp;zg=0&amp;vDokTyp=Dokument&amp;vDokID=37605&amp;LinkArt=t" TargetMode="External"/><Relationship Id="rId25"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br-online.de/IBRNavigator/dokumentanzeige-body.php?HTTP_DocType=Norm&amp;Norm=BGB+%A7+634&amp;SessionID=e6a340f6ebbbdb50615c4e2a01d3d890&amp;zg=0&amp;vDokTyp=Dokument&amp;vDokID=37605&amp;LinkArt=t" TargetMode="External"/><Relationship Id="rId20" Type="http://schemas.openxmlformats.org/officeDocument/2006/relationships/hyperlink" Target="https://www.ibr-online.de/IBRNavigator/dokumentanzeige-body.php?SessionID=e6a340f6ebbbdb50615c4e2a01d3d890&amp;zg=0&amp;vDokTyp=Dokument&amp;vDokID=37605&amp;LinkArt=t&amp;HTTP_DocType=Norm&amp;Norm=VOB/B+%A7+13" TargetMode="External"/><Relationship Id="rId29"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r-online.de/IBRNavigator/dokumentanzeige-body.php?HTTP_DocType=Urteil&amp;Gericht=BGH&amp;Urteilsdatum=2018-02-22&amp;Aktenzeichen=VII%20ZR%2046/17&amp;SessionID=e6a340f6ebbbdb50615c4e2a01d3d890&amp;zg=0&amp;vDokTyp=Dokument&amp;vDokID=37605&amp;LinkArt=t" TargetMode="External"/><Relationship Id="rId24"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32" Type="http://schemas.openxmlformats.org/officeDocument/2006/relationships/hyperlink" Target="https://www.ibr-online.de/IBRNavigator/dokumentanzeige-body.php?SessionID=e6a340f6ebbbdb50615c4e2a01d3d890&amp;zg=0&amp;vDokTyp=Dokument&amp;vDokID=37605&amp;LinkArt=t&amp;SessionID=e6a340f6ebbbdb50615c4e2a01d3d890&amp;zg=0&amp;HTTP_DocType=Profil&amp;PersonID=22098"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br-online.de/IBRNavigator/dokumentanzeige-body.php?HTTP_DocType=Norm&amp;Norm=BGB+%A7+633&amp;SessionID=e6a340f6ebbbdb50615c4e2a01d3d890&amp;zg=0&amp;vDokTyp=Dokument&amp;vDokID=37605&amp;LinkArt=t" TargetMode="External"/><Relationship Id="rId23" Type="http://schemas.openxmlformats.org/officeDocument/2006/relationships/hyperlink" Target="https://www.ibr-online.de/IBRNavigator/dokumentanzeige-body.php?SessionID=e6a340f6ebbbdb50615c4e2a01d3d890&amp;zg=0&amp;vDokTyp=Dokument&amp;vDokID=37605&amp;LinkArt=t&amp;HTTP_DocType=Norm&amp;Norm=BGB+%A7+281" TargetMode="External"/><Relationship Id="rId28"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36" Type="http://schemas.openxmlformats.org/officeDocument/2006/relationships/footer" Target="footer2.xml"/><Relationship Id="rId10" Type="http://schemas.openxmlformats.org/officeDocument/2006/relationships/hyperlink" Target="https://www.ibr-online.de/IBRNavigator/dokumentanzeige-body.php?SessionID=e6a340f6ebbbdb50615c4e2a01d3d890&amp;zg=0&amp;vDokTyp=Dokument&amp;vDokID=37605&amp;LinkArt=t&amp;HTTP_DocType=Norm&amp;Norm=BGB+%A7+281" TargetMode="External"/><Relationship Id="rId19" Type="http://schemas.openxmlformats.org/officeDocument/2006/relationships/hyperlink" Target="https://www.ibr-online.de/IBRNavigator/dokumentanzeige-body.php?HTTP_DocType=Norm&amp;Norm=VOB/B+%A7+13&amp;SessionID=e6a340f6ebbbdb50615c4e2a01d3d890&amp;zg=0&amp;vDokTyp=Dokument&amp;vDokID=37605&amp;LinkArt=t" TargetMode="External"/><Relationship Id="rId31"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4" Type="http://schemas.openxmlformats.org/officeDocument/2006/relationships/settings" Target="settings.xml"/><Relationship Id="rId9" Type="http://schemas.openxmlformats.org/officeDocument/2006/relationships/hyperlink" Target="https://www.ibr-online.de/IBRNavigator/dokumentanzeige-body.php?SessionID=e6a340f6ebbbdb50615c4e2a01d3d890&amp;zg=0&amp;vDokTyp=Dokument&amp;vDokID=37605&amp;LinkArt=t&amp;HTTP_DocType=Norm&amp;Norm=BGB+%A7+280" TargetMode="External"/><Relationship Id="rId14" Type="http://schemas.openxmlformats.org/officeDocument/2006/relationships/hyperlink" Target="https://www.ibr-online.de/IBRNavigator/dokumentanzeige-body.php?HTTP_DocType=Norm&amp;Norm=BGB+%A7+281&amp;SessionID=e6a340f6ebbbdb50615c4e2a01d3d890&amp;zg=0&amp;vDokTyp=Dokument&amp;vDokID=37605&amp;LinkArt=t" TargetMode="External"/><Relationship Id="rId22" Type="http://schemas.openxmlformats.org/officeDocument/2006/relationships/hyperlink" Target="https://www.ibr-online.de/IBRNavigator/dokumentanzeige-body.php?SessionID=e6a340f6ebbbdb50615c4e2a01d3d890&amp;zg=0&amp;vDokTyp=Dokument&amp;vDokID=37605&amp;LinkArt=t&amp;HTTP_DocType=Norm&amp;Norm=BGB+%A7+280" TargetMode="External"/><Relationship Id="rId27" Type="http://schemas.openxmlformats.org/officeDocument/2006/relationships/hyperlink" Target="https://www.ibr-online.de/IBRNavigator/dokumentanzeige-body.php?SessionID=e6a340f6ebbbdb50615c4e2a01d3d890&amp;sub=ajax&amp;folderid=31481&amp;HTTP_DocType=Dokument&amp;Zeitschrift=IBR&amp;Jahrgang=2018&amp;Seite=196&amp;SuchNavi=4%3A15%3A15%3Aarchiv" TargetMode="External"/><Relationship Id="rId30" Type="http://schemas.openxmlformats.org/officeDocument/2006/relationships/hyperlink" Target="https://www.ibr-online.de/IBRNavigator/dokumentanzeige-body.php?SessionID=e6a340f6ebbbdb50615c4e2a01d3d890&amp;zg=0&amp;vDokTyp=Dokument&amp;vDokID=37605&amp;LinkArt=t&amp;HTTP_DocType=Norm&amp;Norm=BGB+%A7+640"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dav@anwaltverein.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Arge Baurecht">
      <a:dk1>
        <a:sysClr val="windowText" lastClr="000000"/>
      </a:dk1>
      <a:lt1>
        <a:sysClr val="window" lastClr="FFFFFF"/>
      </a:lt1>
      <a:dk2>
        <a:srgbClr val="505053"/>
      </a:dk2>
      <a:lt2>
        <a:srgbClr val="FFFFFF"/>
      </a:lt2>
      <a:accent1>
        <a:srgbClr val="505053"/>
      </a:accent1>
      <a:accent2>
        <a:srgbClr val="B5152B"/>
      </a:accent2>
      <a:accent3>
        <a:srgbClr val="3C3C3C"/>
      </a:accent3>
      <a:accent4>
        <a:srgbClr val="464646"/>
      </a:accent4>
      <a:accent5>
        <a:srgbClr val="646464"/>
      </a:accent5>
      <a:accent6>
        <a:srgbClr val="969696"/>
      </a:accent6>
      <a:hlink>
        <a:srgbClr val="0000FF"/>
      </a:hlink>
      <a:folHlink>
        <a:srgbClr val="800080"/>
      </a:folHlink>
    </a:clrScheme>
    <a:fontScheme name="Arge Baurecht">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6350">
          <a:solidFill>
            <a:schemeClr val="bg1"/>
          </a:solidFill>
        </a:ln>
      </a:spPr>
      <a:bodyPr rot="0" vert="horz" wrap="square" lIns="91440" tIns="45720" rIns="91440" bIns="45720" rtlCol="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CAE1F-F01B-4768-A747-DDF29332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8734</Characters>
  <Application>Microsoft Office Word</Application>
  <DocSecurity>0</DocSecurity>
  <Lines>72</Lines>
  <Paragraphs>18</Paragraphs>
  <ScaleCrop>false</ScaleCrop>
  <HeadingPairs>
    <vt:vector size="2" baseType="variant">
      <vt:variant>
        <vt:lpstr>Titel</vt:lpstr>
      </vt:variant>
      <vt:variant>
        <vt:i4>1</vt:i4>
      </vt:variant>
    </vt:vector>
  </HeadingPairs>
  <TitlesOfParts>
    <vt:vector size="1" baseType="lpstr">
      <vt:lpstr>Expertentipp der ARGE Baurecht</vt:lpstr>
    </vt:vector>
  </TitlesOfParts>
  <Company>DIE PR-BERATER GmbH</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Expertentipp der ARGE Baurecht</dc:title>
  <dc:creator>Guido Balke</dc:creator>
  <cp:lastModifiedBy>Manuel Knauber</cp:lastModifiedBy>
  <cp:revision>2</cp:revision>
  <cp:lastPrinted>2017-11-30T09:25:00Z</cp:lastPrinted>
  <dcterms:created xsi:type="dcterms:W3CDTF">2018-04-18T10:42:00Z</dcterms:created>
  <dcterms:modified xsi:type="dcterms:W3CDTF">2018-04-18T10:42:00Z</dcterms:modified>
</cp:coreProperties>
</file>